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7"/>
        <w:gridCol w:w="1543"/>
      </w:tblGrid>
      <w:tr w:rsidR="00772A73"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2A73" w:rsidRDefault="005F1E9E">
            <w:pPr>
              <w:pStyle w:val="pboldeng"/>
            </w:pPr>
            <w:r>
              <w:rPr>
                <w:color w:val="004C93"/>
              </w:rPr>
              <w:t>root-service ag</w:t>
            </w:r>
          </w:p>
          <w:p w:rsidR="00772A73" w:rsidRDefault="005F1E9E">
            <w:pPr>
              <w:pStyle w:val="peng"/>
            </w:pPr>
            <w:r>
              <w:rPr>
                <w:color w:val="004C93"/>
              </w:rPr>
              <w:t>Wydenstrasse 29 | 8575 Bürglen</w:t>
            </w:r>
          </w:p>
          <w:p w:rsidR="00772A73" w:rsidRDefault="005F1E9E">
            <w:pPr>
              <w:pStyle w:val="peng"/>
            </w:pPr>
            <w:r>
              <w:rPr>
                <w:color w:val="004C93"/>
              </w:rPr>
              <w:t>T +41 (0)71 634 80 40 | info@root.ch</w:t>
            </w:r>
          </w:p>
          <w:p w:rsidR="00772A73" w:rsidRDefault="005F1E9E">
            <w:pPr>
              <w:pStyle w:val="pboldeng"/>
            </w:pPr>
            <w:r>
              <w:rPr>
                <w:color w:val="004C93"/>
              </w:rPr>
              <w:t>web.root.ch</w:t>
            </w:r>
          </w:p>
        </w:tc>
        <w:tc>
          <w:tcPr>
            <w:tcW w:w="165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2A73" w:rsidRDefault="00B11EEC">
            <w:pPr>
              <w:pStyle w:val="td4"/>
            </w:pPr>
            <w:r>
              <w:rPr>
                <w:noProof/>
              </w:rPr>
              <w:drawing>
                <wp:inline distT="0" distB="0" distL="0" distR="0">
                  <wp:extent cx="895350" cy="895350"/>
                  <wp:effectExtent l="0" t="0" r="0" b="0"/>
                  <wp:docPr id="1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2A73" w:rsidRDefault="00772A73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7"/>
        <w:gridCol w:w="4537"/>
      </w:tblGrid>
      <w:tr w:rsidR="00772A73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2A73" w:rsidRDefault="005F1E9E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Artikel für AÜP einrichten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2A73" w:rsidRDefault="005F1E9E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772A73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2A73" w:rsidRDefault="005F1E9E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PH-KA</w:t>
            </w:r>
            <w:r>
              <w:rPr>
                <w:shd w:val="clear" w:color="auto" w:fill="FFFFFF"/>
              </w:rPr>
              <w:t>-</w:t>
            </w:r>
            <w:r>
              <w:t>22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2A73" w:rsidRDefault="005F1E9E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2024.2</w:t>
            </w:r>
          </w:p>
        </w:tc>
      </w:tr>
      <w:tr w:rsidR="00772A73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2A73" w:rsidRDefault="005F1E9E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Mai 2024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2A73" w:rsidRDefault="005F1E9E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22. April 2024</w:t>
            </w:r>
          </w:p>
        </w:tc>
      </w:tr>
    </w:tbl>
    <w:p w:rsidR="00772A73" w:rsidRDefault="00772A73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0"/>
      </w:tblGrid>
      <w:tr w:rsidR="00772A73">
        <w:tc>
          <w:tcPr>
            <w:tcW w:w="0" w:type="auto"/>
          </w:tcPr>
          <w:p w:rsidR="00772A73" w:rsidRDefault="005F1E9E">
            <w:pPr>
              <w:pStyle w:val="h1oneh1"/>
            </w:pPr>
            <w:r>
              <w:rPr>
                <w:rStyle w:val="conditionalText"/>
              </w:rPr>
              <w:t>Kurzanleitung Perigon Health</w:t>
            </w:r>
          </w:p>
          <w:p w:rsidR="00772A73" w:rsidRDefault="005F1E9E">
            <w:pPr>
              <w:pStyle w:val="h2oneh2"/>
            </w:pPr>
            <w:r>
              <w:t>Artikel für AÜP einrichten</w:t>
            </w:r>
          </w:p>
        </w:tc>
      </w:tr>
    </w:tbl>
    <w:p w:rsidR="00772A73" w:rsidRDefault="00772A73"/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D4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772A73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D4CC"/>
            <w:tcMar>
              <w:top w:w="0" w:type="dxa"/>
              <w:left w:w="0" w:type="dxa"/>
              <w:bottom w:w="0" w:type="dxa"/>
              <w:right w:w="0" w:type="dxa"/>
            </w:tcMar>
          </w:tcPr>
          <w:p w:rsidR="00772A73" w:rsidRDefault="005F1E9E">
            <w:pPr>
              <w:pStyle w:val="prequirement"/>
            </w:pPr>
            <w:r>
              <w:t>Voraussetzung</w:t>
            </w:r>
          </w:p>
          <w:p w:rsidR="00772A73" w:rsidRDefault="005237A4">
            <w:pPr>
              <w:pStyle w:val="p"/>
            </w:pPr>
            <w:r>
              <w:fldChar w:fldCharType="begin"/>
            </w:r>
            <w:r w:rsidR="005F1E9E">
              <w:instrText xml:space="preserve"> XE "Artikel:Artikelstamm" </w:instrText>
            </w:r>
            <w:r>
              <w:fldChar w:fldCharType="end"/>
            </w:r>
            <w:r w:rsidR="005F1E9E">
              <w:t xml:space="preserve">Die drei Artikel </w:t>
            </w:r>
            <w:r w:rsidR="005F1E9E">
              <w:rPr>
                <w:rStyle w:val="b"/>
              </w:rPr>
              <w:t>ApUpKlvA</w:t>
            </w:r>
            <w:r w:rsidR="005F1E9E">
              <w:t xml:space="preserve">, </w:t>
            </w:r>
            <w:r w:rsidR="005F1E9E">
              <w:rPr>
                <w:rStyle w:val="b"/>
              </w:rPr>
              <w:t>ApUpKlvB</w:t>
            </w:r>
            <w:r w:rsidR="005F1E9E">
              <w:t xml:space="preserve"> und </w:t>
            </w:r>
            <w:r w:rsidR="005F1E9E">
              <w:rPr>
                <w:rStyle w:val="b"/>
              </w:rPr>
              <w:t>ApUpKlvC</w:t>
            </w:r>
            <w:r w:rsidR="005F1E9E">
              <w:t xml:space="preserve"> sind erfasst und aktiv</w:t>
            </w:r>
            <w:r w:rsidR="005F1E9E">
              <w:rPr>
                <w:rStyle w:val="spanlinkoutside"/>
              </w:rPr>
              <w:t xml:space="preserve"> (siehe «V100 Artikel</w:t>
            </w:r>
            <w:r w:rsidR="00B11EEC"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2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F1E9E">
              <w:rPr>
                <w:rStyle w:val="spanlinkoutside"/>
              </w:rPr>
              <w:t>»)</w:t>
            </w:r>
            <w:r w:rsidR="005F1E9E">
              <w:t>.</w:t>
            </w:r>
          </w:p>
        </w:tc>
      </w:tr>
    </w:tbl>
    <w:p w:rsidR="00772A73" w:rsidRDefault="00772A73"/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772A73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FFE0"/>
            <w:tcMar>
              <w:top w:w="0" w:type="dxa"/>
              <w:left w:w="0" w:type="dxa"/>
              <w:bottom w:w="0" w:type="dxa"/>
              <w:right w:w="0" w:type="dxa"/>
            </w:tcMar>
          </w:tcPr>
          <w:p w:rsidR="00772A73" w:rsidRDefault="005F1E9E">
            <w:pPr>
              <w:pStyle w:val="ptip"/>
            </w:pPr>
            <w:r>
              <w:t>Tipp</w:t>
            </w:r>
          </w:p>
          <w:p w:rsidR="00772A73" w:rsidRDefault="005F1E9E">
            <w:pPr>
              <w:pStyle w:val="p"/>
            </w:pPr>
            <w:r>
              <w:t>Falls diese drei Artikel nicht vorhanden sind: Kontrollieren Sie, ob die Artikel nicht passiv sind. Wenden Sie sich an unseren Support, falls die Artikel unauffindbar bleiben.</w:t>
            </w:r>
          </w:p>
        </w:tc>
      </w:tr>
    </w:tbl>
    <w:p w:rsidR="00772A73" w:rsidRDefault="005F1E9E">
      <w:pPr>
        <w:pStyle w:val="psubheadingtopline"/>
      </w:pPr>
      <w:r>
        <w:t>Artikel für AÜP einrichten</w:t>
      </w:r>
    </w:p>
    <w:p w:rsidR="00772A73" w:rsidRDefault="005F1E9E">
      <w:pPr>
        <w:pStyle w:val="lihandlungsanweisung"/>
        <w:numPr>
          <w:ilvl w:val="0"/>
          <w:numId w:val="1"/>
        </w:numPr>
        <w:ind w:left="340" w:hanging="56"/>
      </w:pPr>
      <w:r>
        <w:t xml:space="preserve">Das Menü </w:t>
      </w:r>
      <w:r>
        <w:rPr>
          <w:rStyle w:val="b"/>
        </w:rPr>
        <w:t>V100 Artikel</w:t>
      </w:r>
      <w:r w:rsidR="00B11EEC">
        <w:rPr>
          <w:noProof/>
        </w:rPr>
        <w:drawing>
          <wp:inline distT="0" distB="0" distL="0" distR="0">
            <wp:extent cx="142875" cy="142875"/>
            <wp:effectExtent l="0" t="0" r="0" b="0"/>
            <wp:docPr id="3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öffnen.</w:t>
      </w:r>
    </w:p>
    <w:p w:rsidR="00772A73" w:rsidRDefault="005F1E9E">
      <w:pPr>
        <w:pStyle w:val="lihandlungsanweisung"/>
        <w:numPr>
          <w:ilvl w:val="0"/>
          <w:numId w:val="1"/>
        </w:numPr>
        <w:ind w:left="340" w:hanging="56"/>
      </w:pPr>
      <w:r>
        <w:t xml:space="preserve">Im Eingabefeld </w:t>
      </w:r>
      <w:r>
        <w:rPr>
          <w:rStyle w:val="b"/>
        </w:rPr>
        <w:t>Artikel-ID</w:t>
      </w:r>
      <w:r>
        <w:t xml:space="preserve"> den Wert </w:t>
      </w:r>
      <w:r>
        <w:rPr>
          <w:rStyle w:val="b"/>
        </w:rPr>
        <w:t>ApUpKlv%</w:t>
      </w:r>
      <w:r>
        <w:t xml:space="preserve"> eingeben.</w:t>
      </w:r>
    </w:p>
    <w:p w:rsidR="00772A73" w:rsidRDefault="005F1E9E">
      <w:pPr>
        <w:pStyle w:val="lihandlungsanweisung"/>
        <w:numPr>
          <w:ilvl w:val="0"/>
          <w:numId w:val="1"/>
        </w:numPr>
        <w:ind w:left="340" w:hanging="56"/>
      </w:pPr>
      <w:r>
        <w:t xml:space="preserve">In der Symbolleiste auf </w:t>
      </w:r>
      <w:r>
        <w:rPr>
          <w:rStyle w:val="b"/>
        </w:rPr>
        <w:t>Suchen</w:t>
      </w:r>
      <w:r w:rsidR="00B11EEC">
        <w:rPr>
          <w:noProof/>
        </w:rPr>
        <w:drawing>
          <wp:inline distT="0" distB="0" distL="0" distR="0">
            <wp:extent cx="142875" cy="142875"/>
            <wp:effectExtent l="0" t="0" r="0" b="0"/>
            <wp:docPr id="4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 </w:t>
      </w:r>
      <w:r>
        <w:rPr>
          <w:rStyle w:val="kbd"/>
        </w:rPr>
        <w:t>F2</w:t>
      </w:r>
      <w:r>
        <w:t xml:space="preserve"> drücken.</w:t>
      </w:r>
    </w:p>
    <w:p w:rsidR="00772A73" w:rsidRDefault="005F1E9E">
      <w:pPr>
        <w:pStyle w:val="lihandlungsanweisung"/>
        <w:numPr>
          <w:ilvl w:val="0"/>
          <w:numId w:val="1"/>
        </w:numPr>
        <w:ind w:left="340" w:hanging="56"/>
      </w:pPr>
      <w:r>
        <w:t xml:space="preserve">Im Listenbereich auf den Artikel </w:t>
      </w:r>
      <w:r>
        <w:rPr>
          <w:rStyle w:val="b"/>
        </w:rPr>
        <w:t>ApUpKlvA</w:t>
      </w:r>
      <w:r>
        <w:t xml:space="preserve"> und danach auf die Schaltfläche </w:t>
      </w:r>
      <w:r>
        <w:rPr>
          <w:rStyle w:val="b"/>
        </w:rPr>
        <w:t>Verkaufspreis</w:t>
      </w:r>
      <w:r>
        <w:t xml:space="preserve"> klicken.</w:t>
      </w:r>
    </w:p>
    <w:p w:rsidR="00772A73" w:rsidRDefault="005F1E9E">
      <w:pPr>
        <w:pStyle w:val="liunterresultat"/>
        <w:numPr>
          <w:ilvl w:val="0"/>
          <w:numId w:val="2"/>
        </w:numPr>
        <w:ind w:left="680"/>
      </w:pPr>
      <w:r>
        <w:t xml:space="preserve">Das Fenster </w:t>
      </w:r>
      <w:r>
        <w:rPr>
          <w:rStyle w:val="b"/>
        </w:rPr>
        <w:t>Verkaufspreis: Akut- und Übergangspflege KLV A</w:t>
      </w:r>
      <w:r>
        <w:t xml:space="preserve"> wird geöffnet.</w:t>
      </w:r>
    </w:p>
    <w:p w:rsidR="00772A73" w:rsidRDefault="005F1E9E">
      <w:pPr>
        <w:pStyle w:val="lihandlungsanweisung"/>
        <w:numPr>
          <w:ilvl w:val="0"/>
          <w:numId w:val="3"/>
        </w:numPr>
        <w:ind w:left="340" w:hanging="56"/>
      </w:pPr>
      <w:r>
        <w:t xml:space="preserve">In der Symbolleiste auf </w:t>
      </w:r>
      <w:r>
        <w:rPr>
          <w:rStyle w:val="b"/>
        </w:rPr>
        <w:t>Korrigieren</w:t>
      </w:r>
      <w:r w:rsidR="00B11EEC">
        <w:rPr>
          <w:noProof/>
        </w:rPr>
        <w:drawing>
          <wp:inline distT="0" distB="0" distL="0" distR="0">
            <wp:extent cx="142875" cy="142875"/>
            <wp:effectExtent l="0" t="0" r="0" b="0"/>
            <wp:docPr id="5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 </w:t>
      </w:r>
      <w:r>
        <w:rPr>
          <w:rStyle w:val="kbd"/>
        </w:rPr>
        <w:t>F5</w:t>
      </w:r>
      <w:r>
        <w:t xml:space="preserve"> drücken.</w:t>
      </w:r>
    </w:p>
    <w:p w:rsidR="00772A73" w:rsidRDefault="005F1E9E">
      <w:pPr>
        <w:pStyle w:val="lihandlungsanweisung"/>
        <w:numPr>
          <w:ilvl w:val="0"/>
          <w:numId w:val="3"/>
        </w:numPr>
        <w:ind w:left="340" w:hanging="56"/>
      </w:pPr>
      <w:r>
        <w:t xml:space="preserve">In den Feldern </w:t>
      </w:r>
      <w:r>
        <w:rPr>
          <w:rStyle w:val="b"/>
        </w:rPr>
        <w:t>Preis exkl.</w:t>
      </w:r>
      <w:r>
        <w:t xml:space="preserve">, </w:t>
      </w:r>
      <w:r>
        <w:rPr>
          <w:rStyle w:val="b"/>
        </w:rPr>
        <w:t>Preis ÖH</w:t>
      </w:r>
      <w:r>
        <w:t xml:space="preserve">, </w:t>
      </w:r>
      <w:r>
        <w:rPr>
          <w:rStyle w:val="b"/>
        </w:rPr>
        <w:t>Kontonummer</w:t>
      </w:r>
      <w:r>
        <w:t xml:space="preserve"> und </w:t>
      </w:r>
      <w:r>
        <w:rPr>
          <w:rStyle w:val="b"/>
        </w:rPr>
        <w:t>Kostenträger</w:t>
      </w:r>
      <w:r>
        <w:t xml:space="preserve"> die benötigten Informationen erfassen.</w:t>
      </w:r>
    </w:p>
    <w:p w:rsidR="00772A73" w:rsidRDefault="005F1E9E">
      <w:pPr>
        <w:pStyle w:val="lihandlungsanweisung"/>
        <w:numPr>
          <w:ilvl w:val="0"/>
          <w:numId w:val="3"/>
        </w:numPr>
        <w:ind w:left="340" w:hanging="56"/>
      </w:pPr>
      <w:r>
        <w:t xml:space="preserve">In der Symbolleiste auf </w:t>
      </w:r>
      <w:r>
        <w:rPr>
          <w:rStyle w:val="b"/>
        </w:rPr>
        <w:t>Speichern</w:t>
      </w:r>
      <w:r w:rsidR="00B11EEC">
        <w:rPr>
          <w:noProof/>
        </w:rPr>
        <w:drawing>
          <wp:inline distT="0" distB="0" distL="0" distR="0">
            <wp:extent cx="142875" cy="142875"/>
            <wp:effectExtent l="0" t="0" r="0" b="0"/>
            <wp:docPr id="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 </w:t>
      </w:r>
      <w:r>
        <w:rPr>
          <w:rStyle w:val="kbd"/>
        </w:rPr>
        <w:t>F2</w:t>
      </w:r>
      <w:r>
        <w:t xml:space="preserve"> drücken.</w:t>
      </w:r>
    </w:p>
    <w:p w:rsidR="00772A73" w:rsidRDefault="005F1E9E">
      <w:pPr>
        <w:pStyle w:val="lihandlungsanweisung"/>
        <w:numPr>
          <w:ilvl w:val="0"/>
          <w:numId w:val="3"/>
        </w:numPr>
        <w:ind w:left="340" w:hanging="56"/>
      </w:pPr>
      <w:r>
        <w:t xml:space="preserve">Das Fenster </w:t>
      </w:r>
      <w:r>
        <w:rPr>
          <w:rStyle w:val="b"/>
        </w:rPr>
        <w:t>Verkaufspreis: Akut- und Übergangspflege KLV A</w:t>
      </w:r>
      <w:r>
        <w:t xml:space="preserve"> schliessen.</w:t>
      </w:r>
    </w:p>
    <w:p w:rsidR="00772A73" w:rsidRDefault="005F1E9E">
      <w:pPr>
        <w:pStyle w:val="lihandlungsanweisung"/>
        <w:numPr>
          <w:ilvl w:val="0"/>
          <w:numId w:val="3"/>
        </w:numPr>
        <w:ind w:left="340" w:hanging="56"/>
      </w:pPr>
      <w:r>
        <w:t>Im Listenbereich jeweils einen der beiden restlichen Artikel markieren und die benötigten Informationen auch bei diesen Artikeln erfassen.</w:t>
      </w:r>
    </w:p>
    <w:p w:rsidR="00772A73" w:rsidRDefault="005F1E9E">
      <w:pPr>
        <w:pStyle w:val="liresultat"/>
        <w:numPr>
          <w:ilvl w:val="0"/>
          <w:numId w:val="4"/>
        </w:numPr>
        <w:spacing w:after="160"/>
        <w:ind w:left="680"/>
      </w:pPr>
      <w:r>
        <w:t>Der Artikel ist für AÜP eingerichtet.</w:t>
      </w:r>
    </w:p>
    <w:sectPr w:rsidR="00772A73" w:rsidSect="005F1E9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F1E9E" w:rsidRDefault="005F1E9E" w:rsidP="00772A73">
      <w:r>
        <w:separator/>
      </w:r>
    </w:p>
  </w:endnote>
  <w:endnote w:type="continuationSeparator" w:id="0">
    <w:p w:rsidR="005F1E9E" w:rsidRDefault="005F1E9E" w:rsidP="0077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23"/>
      <w:gridCol w:w="5461"/>
      <w:gridCol w:w="1806"/>
    </w:tblGrid>
    <w:tr w:rsidR="00772A73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772A73" w:rsidRDefault="005F1E9E">
          <w:pPr>
            <w:pStyle w:val="td1"/>
          </w:pPr>
          <w:r>
            <w:t>Seite </w:t>
          </w:r>
          <w:r w:rsidR="005237A4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5237A4">
            <w:rPr>
              <w:rStyle w:val="variable"/>
            </w:rPr>
            <w:fldChar w:fldCharType="end"/>
          </w:r>
          <w:r>
            <w:t> von </w:t>
          </w:r>
          <w:r w:rsidR="005237A4">
            <w:fldChar w:fldCharType="begin"/>
          </w:r>
          <w:r>
            <w:instrText xml:space="preserve"> NUMPAGES Arabic \* Arabic</w:instrText>
          </w:r>
          <w:r w:rsidR="005237A4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772A73" w:rsidRDefault="005F1E9E">
          <w:pPr>
            <w:pStyle w:val="td2"/>
          </w:pPr>
          <w:r>
            <w:t>Kurzanleitung - Artikel für AÜP einrichten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772A73" w:rsidRDefault="005F1E9E">
          <w:pPr>
            <w:pStyle w:val="td"/>
          </w:pPr>
          <w:r>
            <w:t> </w:t>
          </w:r>
        </w:p>
      </w:tc>
    </w:tr>
  </w:tbl>
  <w:p w:rsidR="00772A73" w:rsidRDefault="00772A73"/>
  <w:p w:rsidR="00772A73" w:rsidRDefault="00772A73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06"/>
      <w:gridCol w:w="5461"/>
      <w:gridCol w:w="1823"/>
    </w:tblGrid>
    <w:tr w:rsidR="00772A73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772A73" w:rsidRDefault="005F1E9E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772A73" w:rsidRDefault="005F1E9E">
          <w:pPr>
            <w:pStyle w:val="td2"/>
          </w:pPr>
          <w:r>
            <w:t>Kurzanleitung - Artikel für AÜP einrichten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772A73" w:rsidRDefault="005F1E9E">
          <w:pPr>
            <w:pStyle w:val="td3"/>
          </w:pPr>
          <w:r>
            <w:t>Seite </w:t>
          </w:r>
          <w:r w:rsidR="005237A4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5237A4">
            <w:rPr>
              <w:rStyle w:val="variable"/>
            </w:rPr>
            <w:fldChar w:fldCharType="separate"/>
          </w:r>
          <w:r w:rsidR="004D1C6F">
            <w:rPr>
              <w:rStyle w:val="variable"/>
              <w:noProof/>
            </w:rPr>
            <w:t>1</w:t>
          </w:r>
          <w:r w:rsidR="005237A4">
            <w:rPr>
              <w:rStyle w:val="variable"/>
            </w:rPr>
            <w:fldChar w:fldCharType="end"/>
          </w:r>
          <w:r>
            <w:t> von </w:t>
          </w:r>
          <w:r w:rsidR="005237A4">
            <w:fldChar w:fldCharType="begin"/>
          </w:r>
          <w:r>
            <w:instrText xml:space="preserve"> NUMPAGES Arabic \* Arabic</w:instrText>
          </w:r>
          <w:r w:rsidR="005237A4">
            <w:fldChar w:fldCharType="separate"/>
          </w:r>
          <w:r w:rsidR="004D1C6F">
            <w:rPr>
              <w:noProof/>
            </w:rPr>
            <w:t>1</w:t>
          </w:r>
          <w:r w:rsidR="005237A4">
            <w:fldChar w:fldCharType="end"/>
          </w:r>
        </w:p>
      </w:tc>
    </w:tr>
  </w:tbl>
  <w:p w:rsidR="00772A73" w:rsidRDefault="00772A73"/>
  <w:p w:rsidR="00772A73" w:rsidRDefault="00772A73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D1C6F" w:rsidRDefault="004D1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F1E9E" w:rsidRDefault="005F1E9E" w:rsidP="00772A73">
      <w:r>
        <w:separator/>
      </w:r>
    </w:p>
  </w:footnote>
  <w:footnote w:type="continuationSeparator" w:id="0">
    <w:p w:rsidR="005F1E9E" w:rsidRDefault="005F1E9E" w:rsidP="0077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72A73" w:rsidRDefault="00772A7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72A73" w:rsidRDefault="00772A7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D1C6F" w:rsidRDefault="004D1C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41238"/>
    <w:multiLevelType w:val="multilevel"/>
    <w:tmpl w:val="67A45C3A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CF3547"/>
    <w:multiLevelType w:val="multilevel"/>
    <w:tmpl w:val="29505C6E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D57EF9"/>
    <w:multiLevelType w:val="multilevel"/>
    <w:tmpl w:val="6634510C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6E4F4A"/>
    <w:multiLevelType w:val="multilevel"/>
    <w:tmpl w:val="2B361410"/>
    <w:lvl w:ilvl="0">
      <w:start w:val="6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15873547">
    <w:abstractNumId w:val="2"/>
  </w:num>
  <w:num w:numId="2" w16cid:durableId="1796369443">
    <w:abstractNumId w:val="0"/>
  </w:num>
  <w:num w:numId="3" w16cid:durableId="1348825768">
    <w:abstractNumId w:val="3"/>
  </w:num>
  <w:num w:numId="4" w16cid:durableId="394353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A73"/>
    <w:rsid w:val="004D1C6F"/>
    <w:rsid w:val="005237A4"/>
    <w:rsid w:val="005F1E9E"/>
    <w:rsid w:val="00772A73"/>
    <w:rsid w:val="00B1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  <w15:docId w15:val="{50F47E72-48A8-4D6B-A26B-1825C786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Segoe UI" w:hAnsi="Segoe UI" w:cs="Segoe U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5237A4"/>
  </w:style>
  <w:style w:type="paragraph" w:styleId="Heading1">
    <w:name w:val="heading 1"/>
    <w:qFormat/>
    <w:rsid w:val="00772A73"/>
    <w:pPr>
      <w:outlineLvl w:val="0"/>
    </w:pPr>
  </w:style>
  <w:style w:type="paragraph" w:styleId="Heading2">
    <w:name w:val="heading 2"/>
    <w:qFormat/>
    <w:rsid w:val="00772A73"/>
    <w:pPr>
      <w:outlineLvl w:val="1"/>
    </w:pPr>
  </w:style>
  <w:style w:type="paragraph" w:styleId="Heading3">
    <w:name w:val="heading 3"/>
    <w:qFormat/>
    <w:rsid w:val="00772A73"/>
    <w:pPr>
      <w:outlineLvl w:val="2"/>
    </w:pPr>
  </w:style>
  <w:style w:type="paragraph" w:styleId="Heading4">
    <w:name w:val="heading 4"/>
    <w:qFormat/>
    <w:rsid w:val="00772A73"/>
    <w:pPr>
      <w:outlineLvl w:val="3"/>
    </w:pPr>
  </w:style>
  <w:style w:type="paragraph" w:styleId="Heading5">
    <w:name w:val="heading 5"/>
    <w:qFormat/>
    <w:rsid w:val="00772A73"/>
    <w:pPr>
      <w:outlineLvl w:val="4"/>
    </w:pPr>
  </w:style>
  <w:style w:type="paragraph" w:styleId="Heading6">
    <w:name w:val="heading 6"/>
    <w:qFormat/>
    <w:rsid w:val="00772A73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d">
    <w:name w:val="td"/>
    <w:rsid w:val="00772A73"/>
    <w:rPr>
      <w:color w:val="000000"/>
    </w:rPr>
  </w:style>
  <w:style w:type="paragraph" w:customStyle="1" w:styleId="td1">
    <w:name w:val="td_1"/>
    <w:rsid w:val="00772A73"/>
    <w:rPr>
      <w:color w:val="000000"/>
    </w:rPr>
  </w:style>
  <w:style w:type="character" w:customStyle="1" w:styleId="variable">
    <w:name w:val="variable"/>
    <w:rsid w:val="00772A73"/>
    <w:rPr>
      <w:color w:val="000000"/>
      <w:sz w:val="20"/>
      <w:szCs w:val="20"/>
    </w:rPr>
  </w:style>
  <w:style w:type="paragraph" w:customStyle="1" w:styleId="td2">
    <w:name w:val="td_2"/>
    <w:rsid w:val="00772A73"/>
    <w:pPr>
      <w:jc w:val="center"/>
    </w:pPr>
    <w:rPr>
      <w:color w:val="000000"/>
    </w:rPr>
  </w:style>
  <w:style w:type="paragraph" w:customStyle="1" w:styleId="td3">
    <w:name w:val="td_3"/>
    <w:rsid w:val="00772A73"/>
    <w:pPr>
      <w:jc w:val="right"/>
    </w:pPr>
    <w:rPr>
      <w:color w:val="000000"/>
    </w:rPr>
  </w:style>
  <w:style w:type="paragraph" w:customStyle="1" w:styleId="pboldeng">
    <w:name w:val="p_bold eng"/>
    <w:rsid w:val="00772A73"/>
    <w:pPr>
      <w:spacing w:line="0" w:lineRule="atLeast"/>
    </w:pPr>
    <w:rPr>
      <w:b/>
      <w:bCs/>
      <w:color w:val="000000"/>
      <w:sz w:val="18"/>
      <w:szCs w:val="18"/>
    </w:rPr>
  </w:style>
  <w:style w:type="paragraph" w:customStyle="1" w:styleId="peng">
    <w:name w:val="p_eng"/>
    <w:rsid w:val="00772A73"/>
    <w:pPr>
      <w:spacing w:line="0" w:lineRule="atLeast"/>
    </w:pPr>
    <w:rPr>
      <w:color w:val="000000"/>
      <w:sz w:val="18"/>
      <w:szCs w:val="18"/>
    </w:rPr>
  </w:style>
  <w:style w:type="paragraph" w:customStyle="1" w:styleId="td4">
    <w:name w:val="td_4"/>
    <w:rsid w:val="00772A73"/>
    <w:rPr>
      <w:color w:val="000000"/>
      <w:sz w:val="24"/>
      <w:szCs w:val="24"/>
    </w:rPr>
  </w:style>
  <w:style w:type="character" w:customStyle="1" w:styleId="conditionalText">
    <w:name w:val="conditionalText"/>
    <w:rsid w:val="00772A73"/>
    <w:rPr>
      <w:color w:val="000000"/>
      <w:sz w:val="36"/>
      <w:szCs w:val="36"/>
    </w:rPr>
  </w:style>
  <w:style w:type="paragraph" w:customStyle="1" w:styleId="h1oneh1">
    <w:name w:val="h1_oneh1"/>
    <w:basedOn w:val="Heading1"/>
    <w:rsid w:val="00772A73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Heading2"/>
    <w:rsid w:val="00772A73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772A73"/>
    <w:rPr>
      <w:color w:val="000000"/>
      <w:sz w:val="52"/>
      <w:szCs w:val="52"/>
    </w:rPr>
  </w:style>
  <w:style w:type="paragraph" w:customStyle="1" w:styleId="prequirement">
    <w:name w:val="p_requirement"/>
    <w:rsid w:val="00772A73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">
    <w:name w:val="p"/>
    <w:rsid w:val="00772A73"/>
    <w:pPr>
      <w:spacing w:after="120" w:line="0" w:lineRule="atLeast"/>
    </w:pPr>
    <w:rPr>
      <w:color w:val="000000"/>
      <w:sz w:val="24"/>
      <w:szCs w:val="24"/>
    </w:rPr>
  </w:style>
  <w:style w:type="character" w:customStyle="1" w:styleId="b">
    <w:name w:val="b"/>
    <w:rsid w:val="00772A73"/>
    <w:rPr>
      <w:b/>
      <w:bCs/>
      <w:color w:val="000000"/>
      <w:sz w:val="24"/>
      <w:szCs w:val="24"/>
    </w:rPr>
  </w:style>
  <w:style w:type="character" w:customStyle="1" w:styleId="spanlinkoutside">
    <w:name w:val="span_link_outside"/>
    <w:rsid w:val="00772A73"/>
    <w:rPr>
      <w:color w:val="000000"/>
      <w:sz w:val="24"/>
      <w:szCs w:val="24"/>
    </w:rPr>
  </w:style>
  <w:style w:type="paragraph" w:customStyle="1" w:styleId="ptip">
    <w:name w:val="p_tip"/>
    <w:rsid w:val="00772A73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subheadingtopline">
    <w:name w:val="p_subheading topline"/>
    <w:rsid w:val="00772A73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772A73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kbd">
    <w:name w:val="kbd"/>
    <w:rsid w:val="00772A73"/>
    <w:rPr>
      <w:rFonts w:ascii="Courier New" w:hAnsi="Courier New" w:cs="Courier New"/>
      <w:color w:val="000000"/>
      <w:sz w:val="24"/>
      <w:szCs w:val="24"/>
      <w:shd w:val="clear" w:color="auto" w:fill="BDBDBD"/>
    </w:rPr>
  </w:style>
  <w:style w:type="paragraph" w:customStyle="1" w:styleId="liunterresultat">
    <w:name w:val="li_unter_resultat"/>
    <w:rsid w:val="00772A73"/>
    <w:pPr>
      <w:spacing w:line="360" w:lineRule="atLeast"/>
      <w:ind w:left="680"/>
    </w:pPr>
    <w:rPr>
      <w:color w:val="000000"/>
      <w:sz w:val="24"/>
      <w:szCs w:val="24"/>
    </w:rPr>
  </w:style>
  <w:style w:type="paragraph" w:customStyle="1" w:styleId="liresultat">
    <w:name w:val="li_resultat"/>
    <w:rsid w:val="00772A73"/>
    <w:pPr>
      <w:spacing w:after="180" w:line="360" w:lineRule="atLeast"/>
      <w:ind w:left="68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4D1C6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4D1C6F"/>
  </w:style>
  <w:style w:type="paragraph" w:styleId="Footer">
    <w:name w:val="footer"/>
    <w:basedOn w:val="Normal"/>
    <w:link w:val="FooterChar"/>
    <w:rsid w:val="004D1C6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4D1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1288</Characters>
  <Application>Microsoft Office Word</Application>
  <DocSecurity>0</DocSecurity>
  <Lines>10</Lines>
  <Paragraphs>3</Paragraphs>
  <ScaleCrop>false</ScaleCrop>
  <Company>root-service ag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Artikel für AÜP einrichten</dc:title>
  <dc:subject/>
  <dc:creator>root-service ag</dc:creator>
  <cp:keywords/>
  <dc:description/>
  <cp:lastModifiedBy>Roth Patrick</cp:lastModifiedBy>
  <cp:revision>2</cp:revision>
  <dcterms:created xsi:type="dcterms:W3CDTF">2024-04-22T14:55:00Z</dcterms:created>
  <dcterms:modified xsi:type="dcterms:W3CDTF">2024-04-22T14:55:00Z</dcterms:modified>
</cp:coreProperties>
</file>