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10" w:type="dxa"/>
          <w:right w:w="10" w:type="dxa"/>
        </w:tblCellMar>
        <w:tblLook w:val="04A0" w:firstRow="1" w:lastRow="0" w:firstColumn="1" w:lastColumn="0" w:noHBand="0" w:noVBand="1"/>
      </w:tblPr>
      <w:tblGrid>
        <w:gridCol w:w="7547"/>
        <w:gridCol w:w="1543"/>
      </w:tblGrid>
      <w:tr w:rsidR="002433A6">
        <w:tc>
          <w:tcPr>
            <w:tcW w:w="8100" w:type="dxa"/>
            <w:tcMar>
              <w:top w:w="45" w:type="dxa"/>
              <w:left w:w="45" w:type="dxa"/>
              <w:bottom w:w="45" w:type="dxa"/>
              <w:right w:w="45" w:type="dxa"/>
            </w:tcMar>
          </w:tcPr>
          <w:p w:rsidR="002433A6" w:rsidRDefault="005A188D">
            <w:pPr>
              <w:pStyle w:val="pboldeng"/>
            </w:pPr>
            <w:r>
              <w:rPr>
                <w:color w:val="004C93"/>
              </w:rPr>
              <w:t>root-service ag</w:t>
            </w:r>
          </w:p>
          <w:p w:rsidR="002433A6" w:rsidRDefault="005A188D">
            <w:pPr>
              <w:pStyle w:val="peng"/>
            </w:pPr>
            <w:r>
              <w:rPr>
                <w:color w:val="004C93"/>
              </w:rPr>
              <w:t>Wydenstrasse 29 | 8575 Bürglen</w:t>
            </w:r>
          </w:p>
          <w:p w:rsidR="002433A6" w:rsidRDefault="005A188D">
            <w:pPr>
              <w:pStyle w:val="peng"/>
            </w:pPr>
            <w:r>
              <w:rPr>
                <w:color w:val="004C93"/>
              </w:rPr>
              <w:t>T +41 (0)71 634 80 40 | info@root.ch</w:t>
            </w:r>
          </w:p>
          <w:p w:rsidR="002433A6" w:rsidRDefault="005A188D">
            <w:pPr>
              <w:pStyle w:val="pboldeng"/>
            </w:pPr>
            <w:r>
              <w:rPr>
                <w:color w:val="004C93"/>
              </w:rPr>
              <w:t>web.root.ch</w:t>
            </w:r>
          </w:p>
        </w:tc>
        <w:tc>
          <w:tcPr>
            <w:tcW w:w="1650" w:type="dxa"/>
            <w:tcMar>
              <w:top w:w="45" w:type="dxa"/>
              <w:left w:w="45" w:type="dxa"/>
              <w:bottom w:w="45" w:type="dxa"/>
              <w:right w:w="45" w:type="dxa"/>
            </w:tcMar>
          </w:tcPr>
          <w:p w:rsidR="002433A6" w:rsidRDefault="00D92856">
            <w:pPr>
              <w:pStyle w:val="td4"/>
            </w:pPr>
            <w:r>
              <w:rPr>
                <w:noProof/>
              </w:rPr>
              <w:drawing>
                <wp:inline distT="0" distB="0" distL="0" distR="0">
                  <wp:extent cx="895350" cy="895350"/>
                  <wp:effectExtent l="0" t="0" r="0" b="0"/>
                  <wp:docPr id="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rsidR="002433A6" w:rsidRDefault="002433A6">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2433A6">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2433A6" w:rsidRDefault="005A188D">
            <w:pPr>
              <w:pStyle w:val="td"/>
              <w:shd w:val="clear" w:color="auto" w:fill="E2E2E2"/>
            </w:pPr>
            <w:r>
              <w:rPr>
                <w:shd w:val="clear" w:color="auto" w:fill="E2E2E2"/>
              </w:rPr>
              <w:t>Dokument: </w:t>
            </w:r>
            <w:r>
              <w:t>Adresse erfassen/erweitern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2433A6" w:rsidRDefault="005A188D">
            <w:pPr>
              <w:pStyle w:val="td"/>
              <w:shd w:val="clear" w:color="auto" w:fill="E2E2E2"/>
            </w:pPr>
            <w:r>
              <w:rPr>
                <w:shd w:val="clear" w:color="auto" w:fill="E2E2E2"/>
              </w:rPr>
              <w:t xml:space="preserve">Dokumententyp: </w:t>
            </w:r>
            <w:r>
              <w:t>Kurzanleitung</w:t>
            </w:r>
          </w:p>
        </w:tc>
      </w:tr>
      <w:tr w:rsidR="002433A6">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2433A6" w:rsidRDefault="005A188D">
            <w:pPr>
              <w:pStyle w:val="td"/>
              <w:shd w:val="clear" w:color="auto" w:fill="FFFFFF"/>
            </w:pPr>
            <w:r>
              <w:rPr>
                <w:shd w:val="clear" w:color="auto" w:fill="FFFFFF"/>
              </w:rPr>
              <w:t xml:space="preserve">Dokumentennummer: </w:t>
            </w:r>
            <w:r>
              <w:t>PH-KA</w:t>
            </w:r>
            <w:r>
              <w:rPr>
                <w:shd w:val="clear" w:color="auto" w:fill="FFFFFF"/>
              </w:rPr>
              <w:t>-</w:t>
            </w:r>
            <w:r>
              <w:t>50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2433A6" w:rsidRDefault="005A188D">
            <w:pPr>
              <w:pStyle w:val="td"/>
              <w:shd w:val="clear" w:color="auto" w:fill="FFFFFF"/>
            </w:pPr>
            <w:r>
              <w:rPr>
                <w:shd w:val="clear" w:color="auto" w:fill="FFFFFF"/>
              </w:rPr>
              <w:t xml:space="preserve">Programmversion: </w:t>
            </w:r>
            <w:r>
              <w:t>2024.2</w:t>
            </w:r>
          </w:p>
        </w:tc>
      </w:tr>
      <w:tr w:rsidR="002433A6">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2433A6" w:rsidRDefault="005A188D">
            <w:pPr>
              <w:pStyle w:val="td"/>
              <w:shd w:val="clear" w:color="auto" w:fill="E2E2E2"/>
            </w:pPr>
            <w:r>
              <w:rPr>
                <w:shd w:val="clear" w:color="auto" w:fill="E2E2E2"/>
              </w:rPr>
              <w:t xml:space="preserve">Ausgabedatum: </w:t>
            </w:r>
            <w:r>
              <w:t>1. Mai 2024</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2433A6" w:rsidRDefault="005A188D">
            <w:pPr>
              <w:pStyle w:val="td"/>
              <w:shd w:val="clear" w:color="auto" w:fill="E2E2E2"/>
            </w:pPr>
            <w:r>
              <w:rPr>
                <w:shd w:val="clear" w:color="auto" w:fill="E2E2E2"/>
              </w:rPr>
              <w:t>Letzte Aktualisierung: </w:t>
            </w:r>
            <w:r>
              <w:t>22. April 2024</w:t>
            </w:r>
          </w:p>
        </w:tc>
      </w:tr>
    </w:tbl>
    <w:p w:rsidR="002433A6" w:rsidRDefault="002433A6">
      <w:pPr>
        <w:spacing w:after="120"/>
      </w:pPr>
    </w:p>
    <w:tbl>
      <w:tblPr>
        <w:tblW w:w="5000" w:type="pct"/>
        <w:tblCellMar>
          <w:left w:w="10" w:type="dxa"/>
          <w:right w:w="10" w:type="dxa"/>
        </w:tblCellMar>
        <w:tblLook w:val="04A0" w:firstRow="1" w:lastRow="0" w:firstColumn="1" w:lastColumn="0" w:noHBand="0" w:noVBand="1"/>
      </w:tblPr>
      <w:tblGrid>
        <w:gridCol w:w="9090"/>
      </w:tblGrid>
      <w:tr w:rsidR="002433A6">
        <w:tc>
          <w:tcPr>
            <w:tcW w:w="0" w:type="auto"/>
          </w:tcPr>
          <w:p w:rsidR="002433A6" w:rsidRDefault="005A188D">
            <w:pPr>
              <w:pStyle w:val="h1oneh1"/>
            </w:pPr>
            <w:r>
              <w:rPr>
                <w:rStyle w:val="conditionalText"/>
              </w:rPr>
              <w:t>Kurzanleitung Perigon Health</w:t>
            </w:r>
          </w:p>
          <w:p w:rsidR="002433A6" w:rsidRDefault="005A188D">
            <w:pPr>
              <w:pStyle w:val="h2oneh2"/>
            </w:pPr>
            <w:r>
              <w:t>Adresse erfassen/erweitern</w:t>
            </w:r>
          </w:p>
        </w:tc>
      </w:tr>
    </w:tbl>
    <w:p w:rsidR="002433A6" w:rsidRDefault="005A188D">
      <w:pPr>
        <w:pStyle w:val="psubheadingtopline"/>
      </w:pPr>
      <w:r>
        <w:t>Adresse erfassen</w:t>
      </w:r>
    </w:p>
    <w:tbl>
      <w:tblPr>
        <w:tblW w:w="5000" w:type="pct"/>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2433A6">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433A6" w:rsidRDefault="005A188D">
            <w:pPr>
              <w:pStyle w:val="phint"/>
            </w:pPr>
            <w:r>
              <w:t>Hinweis</w:t>
            </w:r>
          </w:p>
          <w:p w:rsidR="002433A6" w:rsidRDefault="005A188D">
            <w:pPr>
              <w:pStyle w:val="p"/>
            </w:pPr>
            <w:r>
              <w:t xml:space="preserve">Ist bereits vor der Erfassung der Adresse bekannt, um welchen Adresstyp es sich handelt (beispielsweise Arzt) kann nach dem Klicken auf </w:t>
            </w:r>
            <w:r>
              <w:rPr>
                <w:rStyle w:val="b"/>
              </w:rPr>
              <w:t>Neu</w:t>
            </w:r>
            <w:r w:rsidR="00D92856">
              <w:rPr>
                <w:noProof/>
              </w:rPr>
              <w:drawing>
                <wp:inline distT="0" distB="0" distL="0" distR="0">
                  <wp:extent cx="142875" cy="142875"/>
                  <wp:effectExtent l="0" t="0" r="0" b="0"/>
                  <wp:docPr id="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direkt der gewünschte Adresstyp ausgewählt werden. Dadurch werden automatisch alle für den Adresstyp benötigten Gruppen und Felder eingeblendet.</w:t>
            </w:r>
          </w:p>
        </w:tc>
      </w:tr>
    </w:tbl>
    <w:p w:rsidR="002433A6" w:rsidRDefault="005A188D">
      <w:pPr>
        <w:pStyle w:val="lihandlungsanweisung"/>
        <w:numPr>
          <w:ilvl w:val="0"/>
          <w:numId w:val="1"/>
        </w:numPr>
        <w:ind w:left="340" w:hanging="56"/>
      </w:pPr>
      <w:r>
        <w:t xml:space="preserve">Das Menü </w:t>
      </w:r>
      <w:r>
        <w:rPr>
          <w:rStyle w:val="b"/>
        </w:rPr>
        <w:t>U100 Adresse</w:t>
      </w:r>
      <w:r w:rsidR="00D92856">
        <w:rPr>
          <w:noProof/>
        </w:rPr>
        <w:drawing>
          <wp:inline distT="0" distB="0" distL="0" distR="0">
            <wp:extent cx="142875" cy="142875"/>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2433A6" w:rsidRDefault="005A188D">
      <w:pPr>
        <w:pStyle w:val="lihandlungsanweisung"/>
        <w:numPr>
          <w:ilvl w:val="0"/>
          <w:numId w:val="1"/>
        </w:numPr>
        <w:ind w:left="340" w:hanging="56"/>
      </w:pPr>
      <w:r>
        <w:t xml:space="preserve">In der Symbolleiste auf </w:t>
      </w:r>
      <w:r>
        <w:rPr>
          <w:rStyle w:val="b"/>
        </w:rPr>
        <w:t>Neu</w:t>
      </w:r>
      <w:r w:rsidR="00D92856">
        <w:rPr>
          <w:noProof/>
        </w:rPr>
        <w:drawing>
          <wp:inline distT="0" distB="0" distL="0" distR="0">
            <wp:extent cx="142875" cy="142875"/>
            <wp:effectExtent l="0" t="0" r="0" b="0"/>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Auswahlmenü auf den Eintrag </w:t>
      </w:r>
      <w:r>
        <w:rPr>
          <w:rStyle w:val="b"/>
        </w:rPr>
        <w:t>Adresse</w:t>
      </w:r>
      <w:r>
        <w:t xml:space="preserve"> klicken.</w:t>
      </w:r>
    </w:p>
    <w:p w:rsidR="002433A6" w:rsidRDefault="005A188D">
      <w:pPr>
        <w:pStyle w:val="liunterresultat"/>
        <w:numPr>
          <w:ilvl w:val="0"/>
          <w:numId w:val="2"/>
        </w:numPr>
        <w:ind w:left="680"/>
      </w:pPr>
      <w:r>
        <w:t xml:space="preserve">Der Cursor ist automatisch im ersten Eingabefeld im Bereich </w:t>
      </w:r>
      <w:r>
        <w:rPr>
          <w:rStyle w:val="b"/>
        </w:rPr>
        <w:t>Adresse</w:t>
      </w:r>
      <w:r>
        <w:t>, damit direkt mit der Eingabe der Daten begonnen werden kann.</w:t>
      </w:r>
    </w:p>
    <w:p w:rsidR="002433A6" w:rsidRDefault="005A188D">
      <w:pPr>
        <w:pStyle w:val="lihandlungsanweisung"/>
        <w:numPr>
          <w:ilvl w:val="0"/>
          <w:numId w:val="3"/>
        </w:numPr>
        <w:ind w:left="340" w:hanging="56"/>
      </w:pPr>
      <w:r>
        <w:t xml:space="preserve">Im Bereich </w:t>
      </w:r>
      <w:r>
        <w:rPr>
          <w:rStyle w:val="b"/>
        </w:rPr>
        <w:t>Adresse</w:t>
      </w:r>
      <w:r>
        <w:t xml:space="preserve"> die Informationen zur Adresse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2433A6">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433A6" w:rsidRDefault="005A188D">
            <w:pPr>
              <w:pStyle w:val="phint"/>
            </w:pPr>
            <w:r>
              <w:t>Hinweis</w:t>
            </w:r>
          </w:p>
          <w:p w:rsidR="002433A6" w:rsidRDefault="005A188D">
            <w:pPr>
              <w:pStyle w:val="p"/>
            </w:pPr>
            <w:r>
              <w:t xml:space="preserve">Ist die Doublettenprüfung aktiviert, wird während der Erfassung einer neuen Adresse bei möglichen Doubletten die Schaltfläche </w:t>
            </w:r>
            <w:r w:rsidR="00422FA5">
              <w:fldChar w:fldCharType="begin"/>
            </w:r>
            <w:r>
              <w:instrText xml:space="preserve"> XE "Adresse" </w:instrText>
            </w:r>
            <w:r w:rsidR="00422FA5">
              <w:fldChar w:fldCharType="end"/>
            </w:r>
            <w:r>
              <w:rPr>
                <w:rStyle w:val="b"/>
              </w:rPr>
              <w:t>Ähnliche Adressen</w:t>
            </w:r>
            <w:r>
              <w:t xml:space="preserve"> mit der Anzahl Doubletten angezeigt. Auf </w:t>
            </w:r>
            <w:r>
              <w:rPr>
                <w:rStyle w:val="b"/>
              </w:rPr>
              <w:t>Ähnliche Adressen</w:t>
            </w:r>
            <w:r>
              <w:t xml:space="preserve"> und danach im Nachschlagefeld auf die gewünschte Adresse klicken, um eine bereits vorhandene Adresse zu öffnen. Zusätzlich wird beim Speichern einer möglichen Doublette erneut nachgefragt, ob die Adresse wirklich als neue Adresse gespeichert werden soll.</w:t>
            </w:r>
          </w:p>
        </w:tc>
      </w:tr>
    </w:tbl>
    <w:p w:rsidR="002433A6" w:rsidRDefault="005A188D">
      <w:pPr>
        <w:pStyle w:val="lihandlungsanweisung"/>
        <w:numPr>
          <w:ilvl w:val="0"/>
          <w:numId w:val="3"/>
        </w:numPr>
        <w:ind w:left="340" w:hanging="56"/>
      </w:pPr>
      <w:r>
        <w:t xml:space="preserve">Im Bereich </w:t>
      </w:r>
      <w:r>
        <w:rPr>
          <w:rStyle w:val="b"/>
        </w:rPr>
        <w:t>Persönliche Angaben</w:t>
      </w:r>
      <w:r>
        <w:t xml:space="preserve"> die Informationen zu den persönlichen Angaben erfassen.</w:t>
      </w:r>
    </w:p>
    <w:p w:rsidR="002433A6" w:rsidRDefault="005A188D">
      <w:pPr>
        <w:pStyle w:val="lihandlungsanweisung"/>
        <w:numPr>
          <w:ilvl w:val="0"/>
          <w:numId w:val="3"/>
        </w:numPr>
        <w:ind w:left="340" w:hanging="56"/>
      </w:pPr>
      <w:r>
        <w:t xml:space="preserve">Falls der Standort manuell bestimmt werden soll: Im Bereich </w:t>
      </w:r>
      <w:r>
        <w:rPr>
          <w:rStyle w:val="b"/>
        </w:rPr>
        <w:t>Standort</w:t>
      </w:r>
      <w:r>
        <w:t xml:space="preserve"> auf </w:t>
      </w:r>
      <w:r>
        <w:rPr>
          <w:rStyle w:val="b"/>
        </w:rPr>
        <w:t>Standort bestimmen</w:t>
      </w:r>
      <w:r>
        <w:t xml:space="preserve"> klicken.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2433A6">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433A6" w:rsidRDefault="005A188D">
            <w:pPr>
              <w:pStyle w:val="phint"/>
            </w:pPr>
            <w:r>
              <w:t>Hinweis</w:t>
            </w:r>
          </w:p>
          <w:p w:rsidR="002433A6" w:rsidRDefault="005A188D">
            <w:pPr>
              <w:pStyle w:val="p"/>
            </w:pPr>
            <w:r>
              <w:t>Beim Speichern der Adresse wird der Standort automatisch bestimmt.</w:t>
            </w:r>
          </w:p>
        </w:tc>
      </w:tr>
    </w:tbl>
    <w:p w:rsidR="002433A6" w:rsidRDefault="005A188D">
      <w:pPr>
        <w:pStyle w:val="lihandlungsanweisung"/>
        <w:numPr>
          <w:ilvl w:val="0"/>
          <w:numId w:val="3"/>
        </w:numPr>
        <w:ind w:left="340" w:hanging="56"/>
      </w:pPr>
      <w:r>
        <w:t xml:space="preserve">Im Bereich </w:t>
      </w:r>
      <w:r>
        <w:rPr>
          <w:rStyle w:val="b"/>
        </w:rPr>
        <w:t>Verbindungsangaben</w:t>
      </w:r>
      <w:r>
        <w:t xml:space="preserve"> auf </w:t>
      </w:r>
      <w:r>
        <w:rPr>
          <w:rStyle w:val="b"/>
        </w:rPr>
        <w:t>Neu</w:t>
      </w:r>
      <w:r w:rsidR="00D92856">
        <w:rPr>
          <w:noProof/>
        </w:rPr>
        <w:drawing>
          <wp:inline distT="0" distB="0" distL="0" distR="0">
            <wp:extent cx="142875" cy="142875"/>
            <wp:effectExtent l="0" t="0" r="0" b="0"/>
            <wp:docPr id="5"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433A6" w:rsidRDefault="005A188D">
      <w:pPr>
        <w:pStyle w:val="liunterresultat"/>
        <w:numPr>
          <w:ilvl w:val="0"/>
          <w:numId w:val="4"/>
        </w:numPr>
        <w:ind w:left="680"/>
      </w:pPr>
      <w:r>
        <w:lastRenderedPageBreak/>
        <w:t xml:space="preserve">Das Fenster </w:t>
      </w:r>
      <w:r>
        <w:rPr>
          <w:rStyle w:val="b"/>
        </w:rPr>
        <w:t>Kontaktdetails</w:t>
      </w:r>
      <w:r>
        <w:t xml:space="preserve"> wird geöffnet.</w:t>
      </w:r>
    </w:p>
    <w:p w:rsidR="002433A6" w:rsidRDefault="005A188D">
      <w:pPr>
        <w:pStyle w:val="lihandlungsanweisung"/>
        <w:numPr>
          <w:ilvl w:val="0"/>
          <w:numId w:val="5"/>
        </w:numPr>
        <w:ind w:left="340" w:hanging="56"/>
      </w:pPr>
      <w:r>
        <w:t>Die Kontaktdetails erfassen.</w:t>
      </w:r>
    </w:p>
    <w:p w:rsidR="002433A6" w:rsidRDefault="005A188D">
      <w:pPr>
        <w:pStyle w:val="lihandlungsanweisung"/>
        <w:numPr>
          <w:ilvl w:val="0"/>
          <w:numId w:val="5"/>
        </w:numPr>
        <w:ind w:left="340" w:hanging="56"/>
      </w:pPr>
      <w:r>
        <w:t xml:space="preserve">Im Bereich </w:t>
      </w:r>
      <w:r>
        <w:rPr>
          <w:rStyle w:val="b"/>
        </w:rPr>
        <w:t>Beziehungen</w:t>
      </w:r>
      <w:r>
        <w:t xml:space="preserve"> auf </w:t>
      </w:r>
      <w:r>
        <w:rPr>
          <w:rStyle w:val="b"/>
        </w:rPr>
        <w:t>Neu</w:t>
      </w:r>
      <w:r w:rsidR="00D92856">
        <w:rPr>
          <w:noProof/>
        </w:rPr>
        <w:drawing>
          <wp:inline distT="0" distB="0" distL="0" distR="0">
            <wp:extent cx="142875" cy="142875"/>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433A6" w:rsidRDefault="005A188D">
      <w:pPr>
        <w:pStyle w:val="liunterresultat"/>
        <w:numPr>
          <w:ilvl w:val="0"/>
          <w:numId w:val="6"/>
        </w:numPr>
        <w:ind w:left="680"/>
      </w:pPr>
      <w:r>
        <w:t xml:space="preserve">Das Fenster </w:t>
      </w:r>
      <w:r>
        <w:rPr>
          <w:rStyle w:val="b"/>
        </w:rPr>
        <w:t>Beziehung</w:t>
      </w:r>
      <w:r>
        <w:t xml:space="preserve"> wird geöffnet.</w:t>
      </w:r>
    </w:p>
    <w:p w:rsidR="002433A6" w:rsidRDefault="005A188D">
      <w:pPr>
        <w:pStyle w:val="lihandlungsanweisung"/>
        <w:numPr>
          <w:ilvl w:val="0"/>
          <w:numId w:val="7"/>
        </w:numPr>
        <w:ind w:left="340" w:hanging="56"/>
      </w:pPr>
      <w:r>
        <w:t xml:space="preserve">Im Bereich </w:t>
      </w:r>
      <w:r>
        <w:rPr>
          <w:rStyle w:val="b"/>
        </w:rPr>
        <w:t>Beziehung</w:t>
      </w:r>
      <w:r>
        <w:t xml:space="preserve"> das gewünschte Optionsfeld aktivieren.</w:t>
      </w:r>
    </w:p>
    <w:p w:rsidR="002433A6" w:rsidRDefault="005A188D">
      <w:pPr>
        <w:pStyle w:val="liunterresultat"/>
        <w:numPr>
          <w:ilvl w:val="0"/>
          <w:numId w:val="8"/>
        </w:numPr>
        <w:ind w:left="680"/>
      </w:pPr>
      <w:r>
        <w:t xml:space="preserve">Falls </w:t>
      </w:r>
      <w:r>
        <w:rPr>
          <w:rStyle w:val="b"/>
        </w:rPr>
        <w:t>Zu bestehender Adresse</w:t>
      </w:r>
      <w:r>
        <w:t xml:space="preserve"> aktiviert wird: Die Beziehung kann zu einer bestehenden Adresse hinzugefügt werden.</w:t>
      </w:r>
    </w:p>
    <w:p w:rsidR="002433A6" w:rsidRDefault="005A188D">
      <w:pPr>
        <w:pStyle w:val="liunterresultat"/>
        <w:numPr>
          <w:ilvl w:val="0"/>
          <w:numId w:val="8"/>
        </w:numPr>
        <w:ind w:left="680"/>
      </w:pPr>
      <w:r>
        <w:t xml:space="preserve">Falls </w:t>
      </w:r>
      <w:r>
        <w:rPr>
          <w:rStyle w:val="b"/>
        </w:rPr>
        <w:t>Zu neuer Adresse</w:t>
      </w:r>
      <w:r>
        <w:t xml:space="preserve"> aktiviert wird: Eine Beziehung kann mit einer neuen Adresse erfasst werden.</w:t>
      </w:r>
    </w:p>
    <w:p w:rsidR="002433A6" w:rsidRDefault="005A188D">
      <w:pPr>
        <w:pStyle w:val="lihandlungsanweisung"/>
        <w:numPr>
          <w:ilvl w:val="0"/>
          <w:numId w:val="9"/>
        </w:numPr>
        <w:ind w:left="340" w:hanging="56"/>
      </w:pPr>
      <w:r>
        <w:t>Die Details zur Beziehung erfassen.</w:t>
      </w:r>
    </w:p>
    <w:p w:rsidR="002433A6" w:rsidRDefault="005A188D">
      <w:pPr>
        <w:pStyle w:val="lihandlungsanweisung"/>
        <w:numPr>
          <w:ilvl w:val="0"/>
          <w:numId w:val="9"/>
        </w:numPr>
        <w:ind w:left="340" w:hanging="56"/>
      </w:pPr>
      <w:r>
        <w:t xml:space="preserve">Im Bereich </w:t>
      </w:r>
      <w:r>
        <w:rPr>
          <w:rStyle w:val="b"/>
        </w:rPr>
        <w:t>Gruppen</w:t>
      </w:r>
      <w:r>
        <w:t xml:space="preserve"> auf </w:t>
      </w:r>
      <w:r>
        <w:rPr>
          <w:rStyle w:val="b"/>
        </w:rPr>
        <w:t>Neu</w:t>
      </w:r>
      <w:r w:rsidR="00D92856">
        <w:rPr>
          <w:noProof/>
        </w:rPr>
        <w:drawing>
          <wp:inline distT="0" distB="0" distL="0" distR="0">
            <wp:extent cx="142875" cy="142875"/>
            <wp:effectExtent l="0" t="0" r="0" b="0"/>
            <wp:docPr id="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433A6" w:rsidRDefault="005A188D">
      <w:pPr>
        <w:pStyle w:val="liunterresultat"/>
        <w:numPr>
          <w:ilvl w:val="0"/>
          <w:numId w:val="10"/>
        </w:numPr>
        <w:ind w:left="680"/>
      </w:pPr>
      <w:r>
        <w:t xml:space="preserve">Das Fenster </w:t>
      </w:r>
      <w:r>
        <w:rPr>
          <w:rStyle w:val="b"/>
        </w:rPr>
        <w:t>Gruppenzuweisung</w:t>
      </w:r>
      <w:r>
        <w:t xml:space="preserve"> wird geöffnet.</w:t>
      </w:r>
    </w:p>
    <w:p w:rsidR="002433A6" w:rsidRDefault="005A188D">
      <w:pPr>
        <w:pStyle w:val="lihandlungsanweisung"/>
        <w:numPr>
          <w:ilvl w:val="0"/>
          <w:numId w:val="11"/>
        </w:numPr>
        <w:ind w:left="340" w:hanging="56"/>
      </w:pPr>
      <w:r>
        <w:t>Die Details zur Gruppe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2433A6">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2433A6" w:rsidRDefault="005A188D">
            <w:pPr>
              <w:pStyle w:val="phint"/>
            </w:pPr>
            <w:r>
              <w:t>Hinweise</w:t>
            </w:r>
          </w:p>
          <w:p w:rsidR="002433A6" w:rsidRDefault="005A188D">
            <w:pPr>
              <w:pStyle w:val="libulletpoint"/>
              <w:numPr>
                <w:ilvl w:val="1"/>
                <w:numId w:val="12"/>
              </w:numPr>
              <w:ind w:left="340" w:hanging="56"/>
            </w:pPr>
            <w:r>
              <w:t>Bei aktiven Gruppenzuweisungsregeln werden nur die erlaubten Gruppen angezeigt.</w:t>
            </w:r>
          </w:p>
          <w:p w:rsidR="002433A6" w:rsidRDefault="005A188D">
            <w:pPr>
              <w:pStyle w:val="libulletpoint"/>
              <w:numPr>
                <w:ilvl w:val="1"/>
                <w:numId w:val="12"/>
              </w:numPr>
              <w:ind w:left="340" w:hanging="56"/>
            </w:pPr>
            <w:r>
              <w:t xml:space="preserve">Das </w:t>
            </w:r>
            <w:r>
              <w:rPr>
                <w:rStyle w:val="b"/>
              </w:rPr>
              <w:t>Gültig von- und das Gültig bis-Datum</w:t>
            </w:r>
            <w:r>
              <w:t xml:space="preserve"> können nur erfasst werden, wenn die Erfassung des Datumsbereichs (Option </w:t>
            </w:r>
            <w:r>
              <w:rPr>
                <w:rStyle w:val="b"/>
              </w:rPr>
              <w:t>Datumsbereich für Gruppenzuweisung aktiv</w:t>
            </w:r>
            <w:r>
              <w:t>) aktiviert ist.</w:t>
            </w:r>
          </w:p>
          <w:p w:rsidR="002433A6" w:rsidRDefault="005A188D">
            <w:pPr>
              <w:pStyle w:val="libulletpoint"/>
              <w:numPr>
                <w:ilvl w:val="1"/>
                <w:numId w:val="12"/>
              </w:numPr>
              <w:ind w:left="340" w:hanging="56"/>
            </w:pPr>
            <w:r>
              <w:t>Ist der Konfigurationseintrag</w:t>
            </w:r>
            <w:r w:rsidR="00422FA5">
              <w:fldChar w:fldCharType="begin"/>
            </w:r>
            <w:r>
              <w:instrText xml:space="preserve"> XE "Perigon Dispo:Einsatz" </w:instrText>
            </w:r>
            <w:r w:rsidR="00422FA5">
              <w:fldChar w:fldCharType="end"/>
            </w:r>
            <w:r>
              <w:rPr>
                <w:rStyle w:val="b"/>
              </w:rPr>
              <w:t>Abteilung den Einsatz- und Dienstdefinitionen zuweisen</w:t>
            </w:r>
            <w:r>
              <w:t xml:space="preserve"> aktiviert, können nur Adressgruppen mit einer zugewiesenen Abteilung zugewiesen werden.</w:t>
            </w:r>
          </w:p>
        </w:tc>
      </w:tr>
    </w:tbl>
    <w:p w:rsidR="002433A6" w:rsidRDefault="005A188D">
      <w:pPr>
        <w:pStyle w:val="lihandlungsanweisung"/>
        <w:numPr>
          <w:ilvl w:val="0"/>
          <w:numId w:val="13"/>
        </w:numPr>
        <w:ind w:left="340" w:hanging="56"/>
      </w:pPr>
      <w:r>
        <w:t xml:space="preserve">Falls ein neues Dokument für die Dokumentenablage (Perigon Docs) erfasst oder ein bestehendes Dokument hinzugefügt werden soll: Im Bereich </w:t>
      </w:r>
      <w:r>
        <w:rPr>
          <w:rStyle w:val="b"/>
        </w:rPr>
        <w:t>Dokumentenablage</w:t>
      </w:r>
      <w:r>
        <w:t xml:space="preserve"> auf </w:t>
      </w:r>
      <w:r>
        <w:rPr>
          <w:rStyle w:val="b"/>
        </w:rPr>
        <w:t>Neu</w:t>
      </w:r>
      <w:r w:rsidR="00D92856">
        <w:rPr>
          <w:noProof/>
        </w:rPr>
        <w:drawing>
          <wp:inline distT="0" distB="0" distL="0" distR="0">
            <wp:extent cx="142875" cy="142875"/>
            <wp:effectExtent l="0" t="0" r="0" b="0"/>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oder </w:t>
      </w:r>
      <w:r>
        <w:rPr>
          <w:rStyle w:val="b"/>
        </w:rPr>
        <w:t>Dokument hinzufügen</w:t>
      </w:r>
      <w:r w:rsidR="00D92856">
        <w:rPr>
          <w:noProof/>
        </w:rPr>
        <w:drawing>
          <wp:inline distT="0" distB="0" distL="0" distR="0">
            <wp:extent cx="142875" cy="142875"/>
            <wp:effectExtent l="0" t="0" r="0" b="0"/>
            <wp:docPr id="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433A6" w:rsidRDefault="005A188D">
      <w:pPr>
        <w:pStyle w:val="lihandlungsanweisung"/>
        <w:numPr>
          <w:ilvl w:val="0"/>
          <w:numId w:val="13"/>
        </w:numPr>
        <w:ind w:left="340" w:hanging="56"/>
      </w:pPr>
      <w:r>
        <w:t xml:space="preserve">Im Bereich </w:t>
      </w:r>
      <w:r>
        <w:rPr>
          <w:rStyle w:val="b"/>
        </w:rPr>
        <w:t>Notizen</w:t>
      </w:r>
      <w:r>
        <w:t xml:space="preserve"> auf </w:t>
      </w:r>
      <w:r>
        <w:rPr>
          <w:rStyle w:val="b"/>
        </w:rPr>
        <w:t>Neu</w:t>
      </w:r>
      <w:r w:rsidR="00D92856">
        <w:rPr>
          <w:noProof/>
        </w:rPr>
        <w:drawing>
          <wp:inline distT="0" distB="0" distL="0" distR="0">
            <wp:extent cx="142875" cy="142875"/>
            <wp:effectExtent l="0" t="0" r="0" b="0"/>
            <wp:docPr id="1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w:t>
      </w:r>
    </w:p>
    <w:p w:rsidR="002433A6" w:rsidRDefault="005A188D">
      <w:pPr>
        <w:pStyle w:val="liunterresultat"/>
        <w:numPr>
          <w:ilvl w:val="0"/>
          <w:numId w:val="14"/>
        </w:numPr>
        <w:ind w:left="680"/>
      </w:pPr>
      <w:r>
        <w:t xml:space="preserve">Das Fenster </w:t>
      </w:r>
      <w:r>
        <w:rPr>
          <w:rStyle w:val="b"/>
        </w:rPr>
        <w:t>Notizen</w:t>
      </w:r>
      <w:r>
        <w:t xml:space="preserve"> wird geöffnet.</w:t>
      </w:r>
    </w:p>
    <w:p w:rsidR="002433A6" w:rsidRDefault="005A188D">
      <w:pPr>
        <w:pStyle w:val="lihandlungsanweisung"/>
        <w:numPr>
          <w:ilvl w:val="0"/>
          <w:numId w:val="15"/>
        </w:numPr>
        <w:ind w:left="340" w:hanging="56"/>
      </w:pPr>
      <w:r>
        <w:t>Die Notiz erfassen.</w:t>
      </w:r>
    </w:p>
    <w:p w:rsidR="002433A6" w:rsidRDefault="005A188D">
      <w:pPr>
        <w:pStyle w:val="lihandlungsanweisung"/>
        <w:numPr>
          <w:ilvl w:val="0"/>
          <w:numId w:val="15"/>
        </w:numPr>
        <w:ind w:left="340" w:hanging="56"/>
      </w:pPr>
      <w:r>
        <w:t xml:space="preserve">In der Symbolleiste auf </w:t>
      </w:r>
      <w:r>
        <w:rPr>
          <w:rStyle w:val="b"/>
        </w:rPr>
        <w:t>Speichern</w:t>
      </w:r>
      <w:r w:rsidR="00D92856">
        <w:rPr>
          <w:noProof/>
        </w:rPr>
        <w:drawing>
          <wp:inline distT="0" distB="0" distL="0" distR="0">
            <wp:extent cx="142875" cy="142875"/>
            <wp:effectExtent l="0" t="0" r="0" b="0"/>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2433A6" w:rsidRDefault="005A188D">
      <w:pPr>
        <w:pStyle w:val="liresultat"/>
        <w:numPr>
          <w:ilvl w:val="0"/>
          <w:numId w:val="16"/>
        </w:numPr>
        <w:spacing w:after="160"/>
        <w:ind w:left="680"/>
      </w:pPr>
      <w:r>
        <w:t>Die Adresse ist erfasst.</w:t>
      </w:r>
    </w:p>
    <w:p w:rsidR="002433A6" w:rsidRDefault="002433A6">
      <w:pPr>
        <w:pStyle w:val="pageBreak"/>
      </w:pPr>
    </w:p>
    <w:p w:rsidR="002433A6" w:rsidRDefault="005A188D">
      <w:pPr>
        <w:pStyle w:val="psubheadingtopline1"/>
      </w:pPr>
      <w:r>
        <w:lastRenderedPageBreak/>
        <w:t>Adresse erweitern</w:t>
      </w:r>
    </w:p>
    <w:p w:rsidR="002433A6" w:rsidRDefault="005A188D">
      <w:pPr>
        <w:pStyle w:val="p"/>
      </w:pPr>
      <w:r>
        <w:t>Bestehende Adressen können einfach erweitert werden. Bei der Erweiterung werden die Gruppen mit den Feldern eingeblendet, welche zusätzlich für die Adresserweiterung benötigt werden oder das entsprechende Menü wird direkt geöffnet.</w:t>
      </w:r>
    </w:p>
    <w:tbl>
      <w:tblPr>
        <w:tblW w:w="5000" w:type="pct"/>
        <w:tblBorders>
          <w:top w:val="single" w:sz="6" w:space="0" w:color="FFFFFF"/>
          <w:left w:val="single" w:sz="6" w:space="0" w:color="FFFFFF"/>
          <w:bottom w:val="single" w:sz="6" w:space="0" w:color="FFFFFF"/>
          <w:right w:val="single" w:sz="6" w:space="0" w:color="FFFFFF"/>
        </w:tblBorders>
        <w:shd w:val="clear" w:color="auto" w:fill="DAF3FF"/>
        <w:tblCellMar>
          <w:left w:w="0" w:type="dxa"/>
          <w:right w:w="0" w:type="dxa"/>
        </w:tblCellMar>
        <w:tblLook w:val="04A0" w:firstRow="1" w:lastRow="0" w:firstColumn="1" w:lastColumn="0" w:noHBand="0" w:noVBand="1"/>
      </w:tblPr>
      <w:tblGrid>
        <w:gridCol w:w="9074"/>
      </w:tblGrid>
      <w:tr w:rsidR="002433A6">
        <w:trPr>
          <w:cantSplit/>
        </w:trPr>
        <w:tc>
          <w:tcPr>
            <w:tcW w:w="0" w:type="auto"/>
            <w:tcBorders>
              <w:top w:val="single" w:sz="6" w:space="0" w:color="FFFFFF"/>
              <w:left w:val="single" w:sz="6" w:space="0" w:color="FFFFFF"/>
            </w:tcBorders>
            <w:shd w:val="clear" w:color="auto" w:fill="DAF3FF"/>
            <w:tcMar>
              <w:top w:w="0" w:type="dxa"/>
              <w:left w:w="0" w:type="dxa"/>
              <w:bottom w:w="0" w:type="dxa"/>
              <w:right w:w="0" w:type="dxa"/>
            </w:tcMar>
          </w:tcPr>
          <w:p w:rsidR="002433A6" w:rsidRDefault="005A188D">
            <w:pPr>
              <w:pStyle w:val="pexample"/>
            </w:pPr>
            <w:r>
              <w:t>Beispiel</w:t>
            </w:r>
          </w:p>
          <w:p w:rsidR="002433A6" w:rsidRDefault="005A188D">
            <w:pPr>
              <w:pStyle w:val="p"/>
            </w:pPr>
            <w:r>
              <w:t xml:space="preserve">Eine einfache Adresse wird neu zu einem Arzt. Bei der Erweiterung der Adresse wird zusätzlich die Gruppe </w:t>
            </w:r>
            <w:r>
              <w:rPr>
                <w:rStyle w:val="b"/>
              </w:rPr>
              <w:t>Arzt</w:t>
            </w:r>
            <w:r>
              <w:t xml:space="preserve"> mit den Feldern angezeigt, welche für die Erfassung eines Arztes benötigt werden (beispielsweise ZSR-Nr.).</w:t>
            </w:r>
          </w:p>
        </w:tc>
      </w:tr>
    </w:tbl>
    <w:p w:rsidR="002433A6" w:rsidRDefault="005A188D">
      <w:pPr>
        <w:pStyle w:val="lihandlungsanweisung"/>
        <w:numPr>
          <w:ilvl w:val="0"/>
          <w:numId w:val="17"/>
        </w:numPr>
        <w:ind w:left="340" w:hanging="56"/>
      </w:pPr>
      <w:r>
        <w:t xml:space="preserve">Das Menü </w:t>
      </w:r>
      <w:r>
        <w:rPr>
          <w:rStyle w:val="b"/>
        </w:rPr>
        <w:t>U100 Adresse</w:t>
      </w:r>
      <w:r w:rsidR="00D92856">
        <w:rPr>
          <w:noProof/>
        </w:rPr>
        <w:drawing>
          <wp:inline distT="0" distB="0" distL="0" distR="0">
            <wp:extent cx="142875" cy="142875"/>
            <wp:effectExtent l="0" t="0" r="0" b="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öffnen.</w:t>
      </w:r>
    </w:p>
    <w:p w:rsidR="002433A6" w:rsidRDefault="005A188D">
      <w:pPr>
        <w:pStyle w:val="lihandlungsanweisung"/>
        <w:numPr>
          <w:ilvl w:val="0"/>
          <w:numId w:val="17"/>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variable2"/>
        </w:rPr>
        <w:t>Adresse</w:t>
      </w:r>
      <w:r>
        <w:t xml:space="preserve"> auswählen.</w:t>
      </w:r>
    </w:p>
    <w:p w:rsidR="002433A6" w:rsidRDefault="005A188D">
      <w:pPr>
        <w:pStyle w:val="lihandlungsanweisung"/>
        <w:numPr>
          <w:ilvl w:val="0"/>
          <w:numId w:val="17"/>
        </w:numPr>
        <w:ind w:left="340" w:hanging="56"/>
      </w:pPr>
      <w:r>
        <w:t xml:space="preserve">In der Symbolleiste auf </w:t>
      </w:r>
      <w:r>
        <w:rPr>
          <w:rStyle w:val="b"/>
        </w:rPr>
        <w:t>Erweitern</w:t>
      </w:r>
      <w:r w:rsidR="00D92856">
        <w:rPr>
          <w:noProof/>
        </w:rPr>
        <w:drawing>
          <wp:inline distT="0" distB="0" distL="0" distR="0">
            <wp:extent cx="142875" cy="142875"/>
            <wp:effectExtent l="0" t="0" r="0" b="0"/>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und im Auswahlmenü auf den gewünschten Eintrag klicken.</w:t>
      </w:r>
    </w:p>
    <w:p w:rsidR="002433A6" w:rsidRDefault="005A188D">
      <w:pPr>
        <w:pStyle w:val="liunterresultat"/>
        <w:numPr>
          <w:ilvl w:val="0"/>
          <w:numId w:val="18"/>
        </w:numPr>
        <w:ind w:left="680"/>
      </w:pPr>
      <w:r>
        <w:t>Abhängig von der gewählten Erweiterung werden die Gruppen mit den benötigten Eingabefeldern angezeigt oder das entsprechende Menü wird geöffnet.</w:t>
      </w:r>
    </w:p>
    <w:p w:rsidR="002433A6" w:rsidRDefault="005A188D">
      <w:pPr>
        <w:pStyle w:val="lihandlungsanweisung"/>
        <w:numPr>
          <w:ilvl w:val="0"/>
          <w:numId w:val="19"/>
        </w:numPr>
        <w:ind w:left="340" w:hanging="56"/>
      </w:pPr>
      <w:r>
        <w:t xml:space="preserve">In der Symbolleiste auf </w:t>
      </w:r>
      <w:r>
        <w:rPr>
          <w:rStyle w:val="b"/>
        </w:rPr>
        <w:t>Speichern</w:t>
      </w:r>
      <w:r w:rsidR="00D92856">
        <w:rPr>
          <w:noProof/>
        </w:rPr>
        <w:drawing>
          <wp:inline distT="0" distB="0" distL="0" distR="0">
            <wp:extent cx="142875" cy="14287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xml:space="preserve"> klicken oder die Taste </w:t>
      </w:r>
      <w:r>
        <w:rPr>
          <w:rStyle w:val="kbd"/>
        </w:rPr>
        <w:t>F2</w:t>
      </w:r>
      <w:r>
        <w:t xml:space="preserve"> drücken.</w:t>
      </w:r>
    </w:p>
    <w:p w:rsidR="002433A6" w:rsidRDefault="005A188D">
      <w:pPr>
        <w:pStyle w:val="liresultat"/>
        <w:numPr>
          <w:ilvl w:val="0"/>
          <w:numId w:val="20"/>
        </w:numPr>
        <w:spacing w:after="160"/>
        <w:ind w:left="680"/>
      </w:pPr>
      <w:r>
        <w:t>Die Adresse ist erweitert.</w:t>
      </w:r>
    </w:p>
    <w:sectPr w:rsidR="002433A6" w:rsidSect="005A188D">
      <w:headerReference w:type="even" r:id="rId13"/>
      <w:headerReference w:type="default" r:id="rId14"/>
      <w:footerReference w:type="even" r:id="rId15"/>
      <w:footerReference w:type="default" r:id="rId16"/>
      <w:headerReference w:type="first" r:id="rId17"/>
      <w:footerReference w:type="first" r:id="rId18"/>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188D" w:rsidRDefault="005A188D" w:rsidP="002433A6">
      <w:r>
        <w:separator/>
      </w:r>
    </w:p>
  </w:endnote>
  <w:endnote w:type="continuationSeparator" w:id="0">
    <w:p w:rsidR="005A188D" w:rsidRDefault="005A188D" w:rsidP="002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23"/>
      <w:gridCol w:w="5462"/>
      <w:gridCol w:w="1805"/>
    </w:tblGrid>
    <w:tr w:rsidR="002433A6">
      <w:tc>
        <w:tcPr>
          <w:tcW w:w="1867" w:type="dxa"/>
          <w:tcMar>
            <w:top w:w="45" w:type="dxa"/>
            <w:left w:w="45" w:type="dxa"/>
            <w:bottom w:w="45" w:type="dxa"/>
            <w:right w:w="45" w:type="dxa"/>
          </w:tcMar>
        </w:tcPr>
        <w:p w:rsidR="002433A6" w:rsidRDefault="005A188D">
          <w:pPr>
            <w:pStyle w:val="td1"/>
          </w:pPr>
          <w:r>
            <w:t>Seite </w:t>
          </w:r>
          <w:r w:rsidR="00422FA5">
            <w:rPr>
              <w:rStyle w:val="variable"/>
            </w:rPr>
            <w:fldChar w:fldCharType="begin"/>
          </w:r>
          <w:r>
            <w:rPr>
              <w:rStyle w:val="variable"/>
            </w:rPr>
            <w:instrText xml:space="preserve"> PAGE \* Arabic  \* MERGEFORMAT </w:instrText>
          </w:r>
          <w:r w:rsidR="00422FA5">
            <w:rPr>
              <w:rStyle w:val="variable"/>
            </w:rPr>
            <w:fldChar w:fldCharType="separate"/>
          </w:r>
          <w:r w:rsidR="00BC1583">
            <w:rPr>
              <w:rStyle w:val="variable"/>
              <w:noProof/>
            </w:rPr>
            <w:t>2</w:t>
          </w:r>
          <w:r w:rsidR="00422FA5">
            <w:rPr>
              <w:rStyle w:val="variable"/>
            </w:rPr>
            <w:fldChar w:fldCharType="end"/>
          </w:r>
          <w:r>
            <w:t> von </w:t>
          </w:r>
          <w:r w:rsidR="00422FA5">
            <w:fldChar w:fldCharType="begin"/>
          </w:r>
          <w:r>
            <w:instrText xml:space="preserve"> NUMPAGES Arabic \* Arabic</w:instrText>
          </w:r>
          <w:r w:rsidR="00422FA5">
            <w:fldChar w:fldCharType="separate"/>
          </w:r>
          <w:r w:rsidR="00BC1583">
            <w:rPr>
              <w:noProof/>
            </w:rPr>
            <w:t>3</w:t>
          </w:r>
          <w:r w:rsidR="00422FA5">
            <w:fldChar w:fldCharType="end"/>
          </w:r>
        </w:p>
      </w:tc>
      <w:tc>
        <w:tcPr>
          <w:tcW w:w="5599" w:type="dxa"/>
          <w:tcMar>
            <w:top w:w="45" w:type="dxa"/>
            <w:left w:w="45" w:type="dxa"/>
            <w:bottom w:w="45" w:type="dxa"/>
            <w:right w:w="45" w:type="dxa"/>
          </w:tcMar>
        </w:tcPr>
        <w:p w:rsidR="002433A6" w:rsidRDefault="005A188D">
          <w:pPr>
            <w:pStyle w:val="td2"/>
          </w:pPr>
          <w:r>
            <w:t>Kurzanleitung - Adresse erfassen/erweitern</w:t>
          </w:r>
        </w:p>
      </w:tc>
      <w:tc>
        <w:tcPr>
          <w:tcW w:w="1849" w:type="dxa"/>
          <w:tcMar>
            <w:top w:w="45" w:type="dxa"/>
            <w:left w:w="45" w:type="dxa"/>
            <w:bottom w:w="45" w:type="dxa"/>
            <w:right w:w="45" w:type="dxa"/>
          </w:tcMar>
        </w:tcPr>
        <w:p w:rsidR="002433A6" w:rsidRDefault="005A188D">
          <w:pPr>
            <w:pStyle w:val="td"/>
          </w:pPr>
          <w:r>
            <w:t> </w:t>
          </w:r>
        </w:p>
      </w:tc>
    </w:tr>
  </w:tbl>
  <w:p w:rsidR="002433A6" w:rsidRDefault="002433A6"/>
  <w:p w:rsidR="002433A6" w:rsidRDefault="002433A6">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Layout w:type="fixed"/>
      <w:tblCellMar>
        <w:left w:w="10" w:type="dxa"/>
        <w:right w:w="10" w:type="dxa"/>
      </w:tblCellMar>
      <w:tblLook w:val="04A0" w:firstRow="1" w:lastRow="0" w:firstColumn="1" w:lastColumn="0" w:noHBand="0" w:noVBand="1"/>
    </w:tblPr>
    <w:tblGrid>
      <w:gridCol w:w="1805"/>
      <w:gridCol w:w="5462"/>
      <w:gridCol w:w="1823"/>
    </w:tblGrid>
    <w:tr w:rsidR="002433A6">
      <w:tc>
        <w:tcPr>
          <w:tcW w:w="1849" w:type="dxa"/>
          <w:tcMar>
            <w:top w:w="45" w:type="dxa"/>
            <w:left w:w="45" w:type="dxa"/>
            <w:bottom w:w="45" w:type="dxa"/>
            <w:right w:w="45" w:type="dxa"/>
          </w:tcMar>
        </w:tcPr>
        <w:p w:rsidR="002433A6" w:rsidRDefault="005A188D">
          <w:pPr>
            <w:pStyle w:val="td"/>
          </w:pPr>
          <w:r>
            <w:t> </w:t>
          </w:r>
        </w:p>
      </w:tc>
      <w:tc>
        <w:tcPr>
          <w:tcW w:w="5599" w:type="dxa"/>
          <w:tcMar>
            <w:top w:w="45" w:type="dxa"/>
            <w:left w:w="45" w:type="dxa"/>
            <w:bottom w:w="45" w:type="dxa"/>
            <w:right w:w="45" w:type="dxa"/>
          </w:tcMar>
        </w:tcPr>
        <w:p w:rsidR="002433A6" w:rsidRDefault="005A188D">
          <w:pPr>
            <w:pStyle w:val="td2"/>
          </w:pPr>
          <w:r>
            <w:t>Kurzanleitung - Adresse erfassen/erweitern</w:t>
          </w:r>
        </w:p>
      </w:tc>
      <w:tc>
        <w:tcPr>
          <w:tcW w:w="1867" w:type="dxa"/>
          <w:tcMar>
            <w:top w:w="45" w:type="dxa"/>
            <w:left w:w="45" w:type="dxa"/>
            <w:bottom w:w="45" w:type="dxa"/>
            <w:right w:w="45" w:type="dxa"/>
          </w:tcMar>
        </w:tcPr>
        <w:p w:rsidR="002433A6" w:rsidRDefault="005A188D">
          <w:pPr>
            <w:pStyle w:val="td3"/>
          </w:pPr>
          <w:r>
            <w:t>Seite </w:t>
          </w:r>
          <w:r w:rsidR="00422FA5">
            <w:rPr>
              <w:rStyle w:val="variable"/>
            </w:rPr>
            <w:fldChar w:fldCharType="begin"/>
          </w:r>
          <w:r>
            <w:rPr>
              <w:rStyle w:val="variable"/>
            </w:rPr>
            <w:instrText xml:space="preserve"> PAGE \* Arabic  \* MERGEFORMAT </w:instrText>
          </w:r>
          <w:r w:rsidR="00422FA5">
            <w:rPr>
              <w:rStyle w:val="variable"/>
            </w:rPr>
            <w:fldChar w:fldCharType="separate"/>
          </w:r>
          <w:r w:rsidR="00BC1583">
            <w:rPr>
              <w:rStyle w:val="variable"/>
              <w:noProof/>
            </w:rPr>
            <w:t>1</w:t>
          </w:r>
          <w:r w:rsidR="00422FA5">
            <w:rPr>
              <w:rStyle w:val="variable"/>
            </w:rPr>
            <w:fldChar w:fldCharType="end"/>
          </w:r>
          <w:r>
            <w:t> von </w:t>
          </w:r>
          <w:r w:rsidR="00422FA5">
            <w:fldChar w:fldCharType="begin"/>
          </w:r>
          <w:r>
            <w:instrText xml:space="preserve"> NUMPAGES Arabic \* Arabic</w:instrText>
          </w:r>
          <w:r w:rsidR="00422FA5">
            <w:fldChar w:fldCharType="separate"/>
          </w:r>
          <w:r w:rsidR="00BC1583">
            <w:rPr>
              <w:noProof/>
            </w:rPr>
            <w:t>2</w:t>
          </w:r>
          <w:r w:rsidR="00422FA5">
            <w:fldChar w:fldCharType="end"/>
          </w:r>
        </w:p>
      </w:tc>
    </w:tr>
  </w:tbl>
  <w:p w:rsidR="002433A6" w:rsidRDefault="002433A6"/>
  <w:p w:rsidR="002433A6" w:rsidRDefault="002433A6">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83" w:rsidRDefault="00BC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188D" w:rsidRDefault="005A188D" w:rsidP="002433A6">
      <w:r>
        <w:separator/>
      </w:r>
    </w:p>
  </w:footnote>
  <w:footnote w:type="continuationSeparator" w:id="0">
    <w:p w:rsidR="005A188D" w:rsidRDefault="005A188D" w:rsidP="0024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33A6" w:rsidRDefault="002433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33A6" w:rsidRDefault="002433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83" w:rsidRDefault="00BC1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712"/>
    <w:multiLevelType w:val="multilevel"/>
    <w:tmpl w:val="ECCCE9C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A3EC2"/>
    <w:multiLevelType w:val="multilevel"/>
    <w:tmpl w:val="CF880F0C"/>
    <w:lvl w:ilvl="0">
      <w:numFmt w:val="decimal"/>
      <w:lvlText w:val=""/>
      <w:lvlJc w:val="left"/>
    </w:lvl>
    <w:lvl w:ilvl="1">
      <w:numFmt w:val="bullet"/>
      <w:lvlText w:val=""/>
      <w:lvlJc w:val="right"/>
      <w:pPr>
        <w:tabs>
          <w:tab w:val="num" w:pos="330"/>
        </w:tabs>
        <w:spacing w:line="360" w:lineRule="atLeast"/>
        <w:ind w:left="330" w:hanging="210"/>
        <w:jc w:val="left"/>
      </w:pPr>
      <w:rPr>
        <w:rFonts w:ascii="Symbol" w:hAnsi="Symbol"/>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B00EA"/>
    <w:multiLevelType w:val="multilevel"/>
    <w:tmpl w:val="8736B47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C3AFC"/>
    <w:multiLevelType w:val="multilevel"/>
    <w:tmpl w:val="36584CEC"/>
    <w:lvl w:ilvl="0">
      <w:start w:val="1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97EF0"/>
    <w:multiLevelType w:val="multilevel"/>
    <w:tmpl w:val="0D20012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10E92"/>
    <w:multiLevelType w:val="multilevel"/>
    <w:tmpl w:val="626075CA"/>
    <w:lvl w:ilvl="0">
      <w:start w:val="18"/>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52473"/>
    <w:multiLevelType w:val="multilevel"/>
    <w:tmpl w:val="3350D758"/>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55B5E"/>
    <w:multiLevelType w:val="multilevel"/>
    <w:tmpl w:val="E43215EA"/>
    <w:lvl w:ilvl="0">
      <w:start w:val="1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81B45"/>
    <w:multiLevelType w:val="multilevel"/>
    <w:tmpl w:val="DAC8E39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0122C"/>
    <w:multiLevelType w:val="multilevel"/>
    <w:tmpl w:val="A8CAFDF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1609C"/>
    <w:multiLevelType w:val="multilevel"/>
    <w:tmpl w:val="069E342A"/>
    <w:lvl w:ilvl="0">
      <w:start w:val="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C5C4C"/>
    <w:multiLevelType w:val="multilevel"/>
    <w:tmpl w:val="4DFC1DAE"/>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65638"/>
    <w:multiLevelType w:val="multilevel"/>
    <w:tmpl w:val="E08E58BC"/>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8465AD"/>
    <w:multiLevelType w:val="multilevel"/>
    <w:tmpl w:val="B36484BE"/>
    <w:lvl w:ilvl="0">
      <w:start w:val="5"/>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DC237D"/>
    <w:multiLevelType w:val="multilevel"/>
    <w:tmpl w:val="3FA2BE74"/>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80449"/>
    <w:multiLevelType w:val="multilevel"/>
    <w:tmpl w:val="114E4B8C"/>
    <w:lvl w:ilvl="0">
      <w:start w:val="19"/>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E56562"/>
    <w:multiLevelType w:val="multilevel"/>
    <w:tmpl w:val="544A24C6"/>
    <w:lvl w:ilvl="0">
      <w:start w:val="22"/>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8C55B9"/>
    <w:multiLevelType w:val="multilevel"/>
    <w:tmpl w:val="950A05EC"/>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E00378"/>
    <w:multiLevelType w:val="multilevel"/>
    <w:tmpl w:val="7990FE8E"/>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B84F15"/>
    <w:multiLevelType w:val="multilevel"/>
    <w:tmpl w:val="347CFC86"/>
    <w:lvl w:ilvl="0">
      <w:start w:val="4"/>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0139377">
    <w:abstractNumId w:val="17"/>
  </w:num>
  <w:num w:numId="2" w16cid:durableId="695230846">
    <w:abstractNumId w:val="9"/>
  </w:num>
  <w:num w:numId="3" w16cid:durableId="446201744">
    <w:abstractNumId w:val="19"/>
  </w:num>
  <w:num w:numId="4" w16cid:durableId="1136141571">
    <w:abstractNumId w:val="0"/>
  </w:num>
  <w:num w:numId="5" w16cid:durableId="273443343">
    <w:abstractNumId w:val="10"/>
  </w:num>
  <w:num w:numId="6" w16cid:durableId="1514609519">
    <w:abstractNumId w:val="6"/>
  </w:num>
  <w:num w:numId="7" w16cid:durableId="1383596336">
    <w:abstractNumId w:val="3"/>
  </w:num>
  <w:num w:numId="8" w16cid:durableId="335154982">
    <w:abstractNumId w:val="2"/>
  </w:num>
  <w:num w:numId="9" w16cid:durableId="1793859162">
    <w:abstractNumId w:val="7"/>
  </w:num>
  <w:num w:numId="10" w16cid:durableId="1926038232">
    <w:abstractNumId w:val="4"/>
  </w:num>
  <w:num w:numId="11" w16cid:durableId="918754360">
    <w:abstractNumId w:val="5"/>
  </w:num>
  <w:num w:numId="12" w16cid:durableId="14039604">
    <w:abstractNumId w:val="1"/>
  </w:num>
  <w:num w:numId="13" w16cid:durableId="855579231">
    <w:abstractNumId w:val="15"/>
  </w:num>
  <w:num w:numId="14" w16cid:durableId="1400666392">
    <w:abstractNumId w:val="11"/>
  </w:num>
  <w:num w:numId="15" w16cid:durableId="1103763264">
    <w:abstractNumId w:val="16"/>
  </w:num>
  <w:num w:numId="16" w16cid:durableId="891695906">
    <w:abstractNumId w:val="18"/>
  </w:num>
  <w:num w:numId="17" w16cid:durableId="1711343862">
    <w:abstractNumId w:val="14"/>
  </w:num>
  <w:num w:numId="18" w16cid:durableId="1435514921">
    <w:abstractNumId w:val="12"/>
  </w:num>
  <w:num w:numId="19" w16cid:durableId="292834252">
    <w:abstractNumId w:val="13"/>
  </w:num>
  <w:num w:numId="20" w16cid:durableId="2055618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6"/>
    <w:rsid w:val="002433A6"/>
    <w:rsid w:val="00422FA5"/>
    <w:rsid w:val="005A188D"/>
    <w:rsid w:val="00BC1583"/>
    <w:rsid w:val="00D9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E4F0E0B2-2F52-4D0A-9734-13BFC30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Segoe U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22FA5"/>
  </w:style>
  <w:style w:type="paragraph" w:styleId="Heading1">
    <w:name w:val="heading 1"/>
    <w:qFormat/>
    <w:rsid w:val="002433A6"/>
    <w:pPr>
      <w:outlineLvl w:val="0"/>
    </w:pPr>
  </w:style>
  <w:style w:type="paragraph" w:styleId="Heading2">
    <w:name w:val="heading 2"/>
    <w:qFormat/>
    <w:rsid w:val="002433A6"/>
    <w:pPr>
      <w:outlineLvl w:val="1"/>
    </w:pPr>
  </w:style>
  <w:style w:type="paragraph" w:styleId="Heading3">
    <w:name w:val="heading 3"/>
    <w:qFormat/>
    <w:rsid w:val="002433A6"/>
    <w:pPr>
      <w:outlineLvl w:val="2"/>
    </w:pPr>
  </w:style>
  <w:style w:type="paragraph" w:styleId="Heading4">
    <w:name w:val="heading 4"/>
    <w:qFormat/>
    <w:rsid w:val="002433A6"/>
    <w:pPr>
      <w:outlineLvl w:val="3"/>
    </w:pPr>
  </w:style>
  <w:style w:type="paragraph" w:styleId="Heading5">
    <w:name w:val="heading 5"/>
    <w:qFormat/>
    <w:rsid w:val="002433A6"/>
    <w:pPr>
      <w:outlineLvl w:val="4"/>
    </w:pPr>
  </w:style>
  <w:style w:type="paragraph" w:styleId="Heading6">
    <w:name w:val="heading 6"/>
    <w:qFormat/>
    <w:rsid w:val="002433A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2433A6"/>
    <w:rPr>
      <w:color w:val="000000"/>
    </w:rPr>
  </w:style>
  <w:style w:type="paragraph" w:customStyle="1" w:styleId="td1">
    <w:name w:val="td_1"/>
    <w:rsid w:val="002433A6"/>
    <w:rPr>
      <w:color w:val="000000"/>
    </w:rPr>
  </w:style>
  <w:style w:type="character" w:customStyle="1" w:styleId="variable">
    <w:name w:val="variable"/>
    <w:rsid w:val="002433A6"/>
    <w:rPr>
      <w:color w:val="000000"/>
      <w:sz w:val="20"/>
      <w:szCs w:val="20"/>
    </w:rPr>
  </w:style>
  <w:style w:type="paragraph" w:customStyle="1" w:styleId="td2">
    <w:name w:val="td_2"/>
    <w:rsid w:val="002433A6"/>
    <w:pPr>
      <w:jc w:val="center"/>
    </w:pPr>
    <w:rPr>
      <w:color w:val="000000"/>
    </w:rPr>
  </w:style>
  <w:style w:type="paragraph" w:customStyle="1" w:styleId="td3">
    <w:name w:val="td_3"/>
    <w:rsid w:val="002433A6"/>
    <w:pPr>
      <w:jc w:val="right"/>
    </w:pPr>
    <w:rPr>
      <w:color w:val="000000"/>
    </w:rPr>
  </w:style>
  <w:style w:type="paragraph" w:customStyle="1" w:styleId="pboldeng">
    <w:name w:val="p_bold eng"/>
    <w:rsid w:val="002433A6"/>
    <w:pPr>
      <w:spacing w:line="0" w:lineRule="atLeast"/>
    </w:pPr>
    <w:rPr>
      <w:b/>
      <w:bCs/>
      <w:color w:val="000000"/>
      <w:sz w:val="18"/>
      <w:szCs w:val="18"/>
    </w:rPr>
  </w:style>
  <w:style w:type="paragraph" w:customStyle="1" w:styleId="peng">
    <w:name w:val="p_eng"/>
    <w:rsid w:val="002433A6"/>
    <w:pPr>
      <w:spacing w:line="0" w:lineRule="atLeast"/>
    </w:pPr>
    <w:rPr>
      <w:color w:val="000000"/>
      <w:sz w:val="18"/>
      <w:szCs w:val="18"/>
    </w:rPr>
  </w:style>
  <w:style w:type="paragraph" w:customStyle="1" w:styleId="td4">
    <w:name w:val="td_4"/>
    <w:rsid w:val="002433A6"/>
    <w:rPr>
      <w:color w:val="000000"/>
      <w:sz w:val="24"/>
      <w:szCs w:val="24"/>
    </w:rPr>
  </w:style>
  <w:style w:type="character" w:customStyle="1" w:styleId="conditionalText">
    <w:name w:val="conditionalText"/>
    <w:rsid w:val="002433A6"/>
    <w:rPr>
      <w:color w:val="000000"/>
      <w:sz w:val="36"/>
      <w:szCs w:val="36"/>
    </w:rPr>
  </w:style>
  <w:style w:type="paragraph" w:customStyle="1" w:styleId="h1oneh1">
    <w:name w:val="h1_oneh1"/>
    <w:basedOn w:val="Heading1"/>
    <w:rsid w:val="002433A6"/>
    <w:pPr>
      <w:keepNext/>
      <w:pBdr>
        <w:top w:val="single" w:sz="12" w:space="0" w:color="004C93"/>
      </w:pBdr>
      <w:spacing w:after="40" w:line="0" w:lineRule="atLeast"/>
    </w:pPr>
    <w:rPr>
      <w:color w:val="000000"/>
      <w:sz w:val="36"/>
      <w:szCs w:val="36"/>
    </w:rPr>
  </w:style>
  <w:style w:type="paragraph" w:customStyle="1" w:styleId="h2oneh2">
    <w:name w:val="h2_oneh2"/>
    <w:basedOn w:val="Heading2"/>
    <w:rsid w:val="002433A6"/>
    <w:pPr>
      <w:keepNext/>
      <w:spacing w:after="260" w:line="0" w:lineRule="atLeast"/>
    </w:pPr>
    <w:rPr>
      <w:b/>
      <w:bCs/>
      <w:color w:val="000000"/>
      <w:sz w:val="52"/>
      <w:szCs w:val="52"/>
    </w:rPr>
  </w:style>
  <w:style w:type="character" w:customStyle="1" w:styleId="variable1">
    <w:name w:val="variable_1"/>
    <w:rsid w:val="002433A6"/>
    <w:rPr>
      <w:color w:val="000000"/>
      <w:sz w:val="52"/>
      <w:szCs w:val="52"/>
    </w:rPr>
  </w:style>
  <w:style w:type="paragraph" w:customStyle="1" w:styleId="psubheadingtopline">
    <w:name w:val="p_subheading topline"/>
    <w:rsid w:val="002433A6"/>
    <w:pPr>
      <w:keepNext/>
      <w:spacing w:after="40" w:line="0" w:lineRule="atLeast"/>
    </w:pPr>
    <w:rPr>
      <w:b/>
      <w:bCs/>
      <w:color w:val="000000"/>
      <w:sz w:val="28"/>
      <w:szCs w:val="28"/>
    </w:rPr>
  </w:style>
  <w:style w:type="paragraph" w:customStyle="1" w:styleId="phint">
    <w:name w:val="p_hint"/>
    <w:rsid w:val="002433A6"/>
    <w:pPr>
      <w:spacing w:line="0" w:lineRule="atLeast"/>
    </w:pPr>
    <w:rPr>
      <w:b/>
      <w:bCs/>
      <w:color w:val="000000"/>
      <w:sz w:val="24"/>
      <w:szCs w:val="24"/>
    </w:rPr>
  </w:style>
  <w:style w:type="paragraph" w:customStyle="1" w:styleId="p">
    <w:name w:val="p"/>
    <w:rsid w:val="002433A6"/>
    <w:pPr>
      <w:spacing w:after="120" w:line="0" w:lineRule="atLeast"/>
    </w:pPr>
    <w:rPr>
      <w:color w:val="000000"/>
      <w:sz w:val="24"/>
      <w:szCs w:val="24"/>
    </w:rPr>
  </w:style>
  <w:style w:type="character" w:customStyle="1" w:styleId="b">
    <w:name w:val="b"/>
    <w:rsid w:val="002433A6"/>
    <w:rPr>
      <w:b/>
      <w:bCs/>
      <w:color w:val="000000"/>
      <w:sz w:val="24"/>
      <w:szCs w:val="24"/>
    </w:rPr>
  </w:style>
  <w:style w:type="paragraph" w:customStyle="1" w:styleId="lihandlungsanweisung">
    <w:name w:val="li_handlungsanweisung"/>
    <w:rsid w:val="002433A6"/>
    <w:pPr>
      <w:spacing w:line="360" w:lineRule="atLeast"/>
      <w:ind w:left="340" w:hanging="56"/>
    </w:pPr>
    <w:rPr>
      <w:color w:val="000000"/>
      <w:sz w:val="24"/>
      <w:szCs w:val="24"/>
    </w:rPr>
  </w:style>
  <w:style w:type="paragraph" w:customStyle="1" w:styleId="liunterresultat">
    <w:name w:val="li_unter_resultat"/>
    <w:rsid w:val="002433A6"/>
    <w:pPr>
      <w:spacing w:line="360" w:lineRule="atLeast"/>
      <w:ind w:left="680"/>
    </w:pPr>
    <w:rPr>
      <w:color w:val="000000"/>
      <w:sz w:val="24"/>
      <w:szCs w:val="24"/>
    </w:rPr>
  </w:style>
  <w:style w:type="paragraph" w:customStyle="1" w:styleId="libulletpoint">
    <w:name w:val="li_bullet_point"/>
    <w:rsid w:val="002433A6"/>
    <w:pPr>
      <w:spacing w:line="360" w:lineRule="atLeast"/>
      <w:ind w:left="340" w:hanging="56"/>
    </w:pPr>
    <w:rPr>
      <w:color w:val="000000"/>
      <w:sz w:val="24"/>
      <w:szCs w:val="24"/>
    </w:rPr>
  </w:style>
  <w:style w:type="character" w:customStyle="1" w:styleId="variable2">
    <w:name w:val="variable_2"/>
    <w:rsid w:val="002433A6"/>
    <w:rPr>
      <w:color w:val="000000"/>
      <w:sz w:val="24"/>
      <w:szCs w:val="24"/>
    </w:rPr>
  </w:style>
  <w:style w:type="character" w:customStyle="1" w:styleId="kbd">
    <w:name w:val="kbd"/>
    <w:rsid w:val="002433A6"/>
    <w:rPr>
      <w:rFonts w:ascii="Courier New" w:hAnsi="Courier New" w:cs="Courier New"/>
      <w:color w:val="000000"/>
      <w:sz w:val="24"/>
      <w:szCs w:val="24"/>
      <w:shd w:val="clear" w:color="auto" w:fill="BDBDBD"/>
    </w:rPr>
  </w:style>
  <w:style w:type="paragraph" w:customStyle="1" w:styleId="liresultat">
    <w:name w:val="li_resultat"/>
    <w:rsid w:val="002433A6"/>
    <w:pPr>
      <w:spacing w:after="180" w:line="360" w:lineRule="atLeast"/>
      <w:ind w:left="680"/>
    </w:pPr>
    <w:rPr>
      <w:color w:val="000000"/>
      <w:sz w:val="24"/>
      <w:szCs w:val="24"/>
    </w:rPr>
  </w:style>
  <w:style w:type="paragraph" w:customStyle="1" w:styleId="pageBreak">
    <w:name w:val="pageBreak"/>
    <w:rsid w:val="002433A6"/>
    <w:rPr>
      <w:color w:val="000000"/>
      <w:sz w:val="24"/>
      <w:szCs w:val="24"/>
    </w:rPr>
  </w:style>
  <w:style w:type="paragraph" w:customStyle="1" w:styleId="psubheadingtopline1">
    <w:name w:val="p_subheading topline_1"/>
    <w:rsid w:val="002433A6"/>
    <w:pPr>
      <w:keepNext/>
      <w:pageBreakBefore/>
      <w:spacing w:after="40" w:line="0" w:lineRule="atLeast"/>
    </w:pPr>
    <w:rPr>
      <w:b/>
      <w:bCs/>
      <w:color w:val="000000"/>
      <w:sz w:val="28"/>
      <w:szCs w:val="28"/>
    </w:rPr>
  </w:style>
  <w:style w:type="paragraph" w:customStyle="1" w:styleId="pexample">
    <w:name w:val="p_example"/>
    <w:rsid w:val="002433A6"/>
    <w:pPr>
      <w:spacing w:line="0" w:lineRule="atLeast"/>
    </w:pPr>
    <w:rPr>
      <w:b/>
      <w:bCs/>
      <w:color w:val="000000"/>
      <w:sz w:val="24"/>
      <w:szCs w:val="24"/>
    </w:rPr>
  </w:style>
  <w:style w:type="paragraph" w:styleId="Header">
    <w:name w:val="header"/>
    <w:basedOn w:val="Normal"/>
    <w:link w:val="HeaderChar"/>
    <w:rsid w:val="00BC1583"/>
    <w:pPr>
      <w:tabs>
        <w:tab w:val="center" w:pos="4703"/>
        <w:tab w:val="right" w:pos="9406"/>
      </w:tabs>
    </w:pPr>
  </w:style>
  <w:style w:type="character" w:customStyle="1" w:styleId="HeaderChar">
    <w:name w:val="Header Char"/>
    <w:basedOn w:val="DefaultParagraphFont"/>
    <w:link w:val="Header"/>
    <w:rsid w:val="00BC1583"/>
  </w:style>
  <w:style w:type="paragraph" w:styleId="Footer">
    <w:name w:val="footer"/>
    <w:basedOn w:val="Normal"/>
    <w:link w:val="FooterChar"/>
    <w:rsid w:val="00BC1583"/>
    <w:pPr>
      <w:tabs>
        <w:tab w:val="center" w:pos="4703"/>
        <w:tab w:val="right" w:pos="9406"/>
      </w:tabs>
    </w:pPr>
  </w:style>
  <w:style w:type="character" w:customStyle="1" w:styleId="FooterChar">
    <w:name w:val="Footer Char"/>
    <w:basedOn w:val="DefaultParagraphFont"/>
    <w:link w:val="Footer"/>
    <w:rsid w:val="00BC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3529</Characters>
  <Application>Microsoft Office Word</Application>
  <DocSecurity>0</DocSecurity>
  <Lines>29</Lines>
  <Paragraphs>8</Paragraphs>
  <ScaleCrop>false</ScaleCrop>
  <Company>root-service ag</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Adresse erfassen/erweitern</dc:title>
  <dc:subject/>
  <dc:creator>root-service ag</dc:creator>
  <cp:keywords/>
  <dc:description/>
  <cp:lastModifiedBy>Roth Patrick</cp:lastModifiedBy>
  <cp:revision>2</cp:revision>
  <dcterms:created xsi:type="dcterms:W3CDTF">2024-04-22T14:56:00Z</dcterms:created>
  <dcterms:modified xsi:type="dcterms:W3CDTF">2024-04-22T14:56:00Z</dcterms:modified>
</cp:coreProperties>
</file>